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0E43DB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6</w:t>
      </w:r>
      <w:r w:rsidR="002B064F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Gdańskiego</w:t>
      </w:r>
      <w:r w:rsidR="002B064F">
        <w:t xml:space="preserve"> – załącznik do uchwały Senatu nr 19/17 z dnia 27 kwietnia 2017 roku.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FD5942">
        <w:t>uzyskaniem zgody na indywidualny program studiów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składa podanie do Dziekana o indywidualny program studiów wraz z dokumentami uzasadniającymi wniosek, harmonogramem zaliczeń oraz zgodami zainteresowanych prowadzących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 xml:space="preserve">- jeżeli indywidualny program studiów ma być realizowany pod okiem opiekuna, student dostarcza również </w:t>
      </w:r>
      <w:r w:rsidR="004307D1">
        <w:t>zgodę nauczyciela akademickiego na opiekę naukową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po zapoznaniu się z podaniem i załączoną dokumentacją wyraża zgodę lub nie wyraża zgody na indywidualny program studiów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przekazuje dokumentację do Dziekanatu ds. Studenckich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zgodę Dziekana odnotowuje w Akademickim Systemie Teleinformatycznym FAST / USOS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sporządza kopię podania i przekazuje ją studentowi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powiadamia planistę o decyzji Dziekana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oryginalną dokumentację umieszcza w teczce osobowej studenta</w:t>
      </w:r>
    </w:p>
    <w:p w:rsidR="004307D1" w:rsidRDefault="004307D1" w:rsidP="00FD5942">
      <w:pPr>
        <w:pStyle w:val="Akapitzlist"/>
        <w:tabs>
          <w:tab w:val="left" w:pos="477"/>
        </w:tabs>
        <w:ind w:left="1251"/>
        <w:jc w:val="both"/>
      </w:pPr>
      <w:r w:rsidRPr="004307D1">
        <w:rPr>
          <w:highlight w:val="lightGray"/>
        </w:rPr>
        <w:t>OPIEKUN NAUKOWY</w:t>
      </w:r>
    </w:p>
    <w:p w:rsidR="004307D1" w:rsidRDefault="004307D1" w:rsidP="00FD5942">
      <w:pPr>
        <w:pStyle w:val="Akapitzlist"/>
        <w:tabs>
          <w:tab w:val="left" w:pos="477"/>
        </w:tabs>
        <w:ind w:left="1251"/>
        <w:jc w:val="both"/>
      </w:pPr>
      <w:r>
        <w:t>- monitoruje postępy studenta</w:t>
      </w:r>
    </w:p>
    <w:p w:rsidR="004307D1" w:rsidRDefault="004307D1" w:rsidP="00FD5942">
      <w:pPr>
        <w:pStyle w:val="Akapitzlist"/>
        <w:tabs>
          <w:tab w:val="left" w:pos="477"/>
        </w:tabs>
        <w:ind w:left="1251"/>
        <w:jc w:val="both"/>
      </w:pPr>
      <w:r>
        <w:t>- sporządza pisemną opinię na temat postępów i przekazuje Dziekanowi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t xml:space="preserve"> - w przypadku negatywnej opinii opiekuna Dziekan podejmuje decyzję o cofnięciu zgody na indywidualny program studiów i o swojej decyzji powiadamia Dziekanat ds. Studenckich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t>- przekazuje decyzję Dziekana studentowi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t>- zawiadamia planistę o cofnięciu zgody na indywidualny program studiów</w:t>
      </w:r>
      <w:bookmarkStart w:id="0" w:name="_GoBack"/>
      <w:bookmarkEnd w:id="0"/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</w:p>
    <w:p w:rsidR="0068768C" w:rsidRDefault="0068768C" w:rsidP="0068768C">
      <w:pPr>
        <w:tabs>
          <w:tab w:val="left" w:pos="477"/>
        </w:tabs>
      </w:pPr>
      <w:r>
        <w:rPr>
          <w:b/>
        </w:rPr>
        <w:tab/>
      </w:r>
    </w:p>
    <w:p w:rsidR="00262025" w:rsidRPr="002B064F" w:rsidRDefault="00262025" w:rsidP="002B064F">
      <w:pPr>
        <w:pStyle w:val="Akapitzlist"/>
        <w:tabs>
          <w:tab w:val="left" w:pos="477"/>
        </w:tabs>
        <w:ind w:left="1251"/>
        <w:jc w:val="both"/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D6307"/>
    <w:rsid w:val="000E43DB"/>
    <w:rsid w:val="00115A0F"/>
    <w:rsid w:val="0020079C"/>
    <w:rsid w:val="00241A1C"/>
    <w:rsid w:val="00262025"/>
    <w:rsid w:val="002B064F"/>
    <w:rsid w:val="003D6981"/>
    <w:rsid w:val="004307D1"/>
    <w:rsid w:val="00611B12"/>
    <w:rsid w:val="0068768C"/>
    <w:rsid w:val="007075BA"/>
    <w:rsid w:val="00725B85"/>
    <w:rsid w:val="0076277F"/>
    <w:rsid w:val="007C0AC6"/>
    <w:rsid w:val="007F59D2"/>
    <w:rsid w:val="008B3AB5"/>
    <w:rsid w:val="00907EFD"/>
    <w:rsid w:val="00956F90"/>
    <w:rsid w:val="009B5609"/>
    <w:rsid w:val="00AD696F"/>
    <w:rsid w:val="00C55583"/>
    <w:rsid w:val="00CB6BBA"/>
    <w:rsid w:val="00D538C8"/>
    <w:rsid w:val="00DA24E3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3</cp:revision>
  <cp:lastPrinted>2016-12-06T10:55:00Z</cp:lastPrinted>
  <dcterms:created xsi:type="dcterms:W3CDTF">2017-11-16T12:13:00Z</dcterms:created>
  <dcterms:modified xsi:type="dcterms:W3CDTF">2017-11-16T12:27:00Z</dcterms:modified>
</cp:coreProperties>
</file>