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14:paraId="7BF4DDEF" w14:textId="77777777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2AC39E" w14:textId="77777777" w:rsidR="00241721" w:rsidRPr="007E5521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7E5521">
              <w:rPr>
                <w:b/>
                <w:sz w:val="22"/>
                <w:szCs w:val="22"/>
                <w:lang w:val="en-US"/>
              </w:rPr>
              <w:t>Course title</w:t>
            </w:r>
          </w:p>
          <w:p w14:paraId="1F9F6090" w14:textId="564C9555" w:rsidR="00E2013A" w:rsidRPr="00E2013A" w:rsidRDefault="00515FF9" w:rsidP="00210A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Bio</w:t>
            </w:r>
            <w:r w:rsidR="004831DA">
              <w:rPr>
                <w:sz w:val="22"/>
                <w:szCs w:val="22"/>
                <w:lang w:val="en-US"/>
              </w:rPr>
              <w:t xml:space="preserve">technology </w:t>
            </w:r>
            <w:r>
              <w:rPr>
                <w:sz w:val="22"/>
                <w:szCs w:val="22"/>
                <w:lang w:val="en-US"/>
              </w:rPr>
              <w:t>and Bio</w:t>
            </w:r>
            <w:r w:rsidR="004831DA">
              <w:rPr>
                <w:sz w:val="22"/>
                <w:szCs w:val="22"/>
                <w:lang w:val="en-US"/>
              </w:rPr>
              <w:t>chemistry</w:t>
            </w:r>
            <w:r>
              <w:rPr>
                <w:sz w:val="22"/>
                <w:szCs w:val="22"/>
                <w:lang w:val="en-US"/>
              </w:rPr>
              <w:t xml:space="preserve"> Laboratory</w:t>
            </w:r>
            <w:r w:rsidR="00E2013A" w:rsidRPr="00E2013A">
              <w:rPr>
                <w:sz w:val="22"/>
                <w:szCs w:val="22"/>
                <w:lang w:val="en-US"/>
              </w:rPr>
              <w:t xml:space="preserve"> – ERASMUS</w:t>
            </w:r>
          </w:p>
          <w:p w14:paraId="404837D3" w14:textId="23F7A423" w:rsidR="00241721" w:rsidRPr="005D2C85" w:rsidRDefault="00515FF9" w:rsidP="00E20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Laboratorium biochemii i biotechnologii</w:t>
            </w:r>
            <w:r w:rsidR="00E2013A">
              <w:rPr>
                <w:sz w:val="22"/>
                <w:szCs w:val="22"/>
              </w:rPr>
              <w:t xml:space="preserve"> – ERASMUS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26661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14:paraId="646E7113" w14:textId="65A40628" w:rsidR="00241721" w:rsidRPr="000C63C2" w:rsidRDefault="00241721" w:rsidP="00F3138D">
            <w:pPr>
              <w:rPr>
                <w:sz w:val="22"/>
                <w:szCs w:val="22"/>
                <w:lang w:val="en-US"/>
              </w:rPr>
            </w:pPr>
          </w:p>
        </w:tc>
      </w:tr>
      <w:tr w:rsidR="00171F69" w:rsidRPr="004831DA" w14:paraId="1A808BF9" w14:textId="77777777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31993" w14:textId="77777777"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14:paraId="38291111" w14:textId="6B727150"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C66168">
              <w:rPr>
                <w:sz w:val="22"/>
                <w:szCs w:val="22"/>
                <w:lang w:val="en-US"/>
              </w:rPr>
              <w:t xml:space="preserve">of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0C63C2" w14:paraId="14699506" w14:textId="77777777" w:rsidTr="00070A9B">
        <w:trPr>
          <w:trHeight w:val="359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0869E48" w14:textId="77777777"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0C63C2" w14:paraId="4A48404F" w14:textId="77777777" w:rsidTr="006A37B8">
              <w:tc>
                <w:tcPr>
                  <w:tcW w:w="2568" w:type="dxa"/>
                </w:tcPr>
                <w:p w14:paraId="57730D4A" w14:textId="77777777"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14:paraId="73D1C79E" w14:textId="77777777"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51E3DC47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14:paraId="2D866E94" w14:textId="77777777"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194CF4FE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14:paraId="385F63DB" w14:textId="77777777"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14:paraId="3E868926" w14:textId="77777777"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2013A" w:rsidRPr="000C63C2" w14:paraId="4B98D027" w14:textId="77777777" w:rsidTr="00210A2F">
              <w:tc>
                <w:tcPr>
                  <w:tcW w:w="2568" w:type="dxa"/>
                </w:tcPr>
                <w:p w14:paraId="50D7F7CE" w14:textId="77777777" w:rsidR="00E2013A" w:rsidRPr="000C63C2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084A8344" w14:textId="77777777" w:rsidR="00E2013A" w:rsidRPr="000C63C2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14:paraId="2D9A6A9F" w14:textId="77777777" w:rsidR="00E2013A" w:rsidRPr="000C63C2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Full-time studies </w:t>
                  </w:r>
                </w:p>
              </w:tc>
              <w:tc>
                <w:tcPr>
                  <w:tcW w:w="2569" w:type="dxa"/>
                </w:tcPr>
                <w:p w14:paraId="17F921F7" w14:textId="77777777" w:rsidR="00E2013A" w:rsidRPr="000C63C2" w:rsidRDefault="00E2013A" w:rsidP="00E2013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2013A" w:rsidRPr="000C63C2" w14:paraId="6C17322C" w14:textId="77777777" w:rsidTr="00210A2F">
              <w:tc>
                <w:tcPr>
                  <w:tcW w:w="2568" w:type="dxa"/>
                </w:tcPr>
                <w:p w14:paraId="407656B0" w14:textId="77777777" w:rsidR="00E2013A" w:rsidRPr="00825F01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</w:t>
                  </w:r>
                  <w:r>
                    <w:rPr>
                      <w:sz w:val="22"/>
                      <w:szCs w:val="22"/>
                      <w:lang w:val="en-US"/>
                    </w:rPr>
                    <w:t>istry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16E874B5" w14:textId="77777777" w:rsidR="00E2013A" w:rsidRPr="000C63C2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</w:p>
              </w:tc>
              <w:tc>
                <w:tcPr>
                  <w:tcW w:w="2568" w:type="dxa"/>
                  <w:vAlign w:val="center"/>
                </w:tcPr>
                <w:p w14:paraId="6ED20444" w14:textId="77777777" w:rsidR="00E2013A" w:rsidRPr="000C63C2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14:paraId="09FA8D9B" w14:textId="77777777" w:rsidR="00E2013A" w:rsidRPr="000C63C2" w:rsidRDefault="00E2013A" w:rsidP="00E2013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2013A" w:rsidRPr="000C63C2" w14:paraId="5834D345" w14:textId="77777777" w:rsidTr="00210A2F">
              <w:tc>
                <w:tcPr>
                  <w:tcW w:w="2568" w:type="dxa"/>
                </w:tcPr>
                <w:p w14:paraId="50ECAB08" w14:textId="77777777" w:rsidR="00E2013A" w:rsidRPr="00825F01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Environmental sciences</w:t>
                  </w:r>
                </w:p>
              </w:tc>
              <w:tc>
                <w:tcPr>
                  <w:tcW w:w="2568" w:type="dxa"/>
                  <w:vAlign w:val="center"/>
                </w:tcPr>
                <w:p w14:paraId="226A4539" w14:textId="77777777" w:rsidR="00E2013A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Bachelor</w:t>
                  </w:r>
                </w:p>
              </w:tc>
              <w:tc>
                <w:tcPr>
                  <w:tcW w:w="2568" w:type="dxa"/>
                  <w:vAlign w:val="center"/>
                </w:tcPr>
                <w:p w14:paraId="61EE6416" w14:textId="77777777" w:rsidR="00E2013A" w:rsidRPr="000C63C2" w:rsidRDefault="00E2013A" w:rsidP="00E2013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</w:p>
              </w:tc>
              <w:tc>
                <w:tcPr>
                  <w:tcW w:w="2569" w:type="dxa"/>
                </w:tcPr>
                <w:p w14:paraId="11828BAB" w14:textId="77777777" w:rsidR="00E2013A" w:rsidRPr="000C63C2" w:rsidRDefault="00E2013A" w:rsidP="00E2013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7D99E816" w14:textId="77777777"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0C63C2" w14:paraId="360E7697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6B290" w14:textId="77777777" w:rsidR="00241721" w:rsidRPr="004831DA" w:rsidRDefault="00620EEF" w:rsidP="00B330C7">
            <w:pPr>
              <w:rPr>
                <w:b/>
                <w:sz w:val="22"/>
                <w:szCs w:val="22"/>
                <w:lang w:val="en-US"/>
              </w:rPr>
            </w:pPr>
            <w:r w:rsidRPr="004831DA">
              <w:rPr>
                <w:b/>
                <w:sz w:val="22"/>
                <w:szCs w:val="22"/>
                <w:lang w:val="en-US"/>
              </w:rPr>
              <w:t>Teaching staff</w:t>
            </w:r>
          </w:p>
          <w:p w14:paraId="6C27094C" w14:textId="77777777" w:rsidR="00FD6EE0" w:rsidRPr="004831DA" w:rsidRDefault="00FD6EE0" w:rsidP="000C63C2">
            <w:pPr>
              <w:rPr>
                <w:sz w:val="22"/>
                <w:szCs w:val="22"/>
                <w:lang w:val="en-US"/>
              </w:rPr>
            </w:pPr>
            <w:r w:rsidRPr="004831DA">
              <w:rPr>
                <w:sz w:val="22"/>
                <w:szCs w:val="22"/>
                <w:lang w:val="en-US"/>
              </w:rPr>
              <w:t xml:space="preserve">Leading teacher: </w:t>
            </w:r>
            <w:r w:rsidR="00953F5A" w:rsidRPr="004831DA">
              <w:rPr>
                <w:sz w:val="22"/>
                <w:szCs w:val="22"/>
                <w:lang w:val="en-US"/>
              </w:rPr>
              <w:t>d</w:t>
            </w:r>
            <w:r w:rsidR="00E72664" w:rsidRPr="004831DA">
              <w:rPr>
                <w:sz w:val="22"/>
                <w:szCs w:val="22"/>
                <w:lang w:val="en-US"/>
              </w:rPr>
              <w:t xml:space="preserve">r </w:t>
            </w:r>
            <w:r w:rsidR="00515FF9" w:rsidRPr="004831DA">
              <w:rPr>
                <w:sz w:val="22"/>
                <w:szCs w:val="22"/>
                <w:lang w:val="en-US"/>
              </w:rPr>
              <w:t>Daria Krefft;</w:t>
            </w:r>
          </w:p>
          <w:p w14:paraId="177D1EAC" w14:textId="35FCD16D" w:rsidR="00241721" w:rsidRPr="000C63C2" w:rsidRDefault="00FD6EE0" w:rsidP="000C63C2">
            <w:pPr>
              <w:rPr>
                <w:sz w:val="22"/>
                <w:szCs w:val="22"/>
              </w:rPr>
            </w:pPr>
            <w:r w:rsidRPr="004831DA">
              <w:rPr>
                <w:sz w:val="22"/>
                <w:szCs w:val="22"/>
                <w:lang w:val="en-US"/>
              </w:rPr>
              <w:t>Other teachers:</w:t>
            </w:r>
            <w:r w:rsidR="00515FF9" w:rsidRPr="004831DA">
              <w:rPr>
                <w:sz w:val="22"/>
                <w:szCs w:val="22"/>
                <w:lang w:val="en-US"/>
              </w:rPr>
              <w:t xml:space="preserve"> dr inż. Joanna Jeżewska-Frąckowiak; dr Joanna Żebrowska; dr hab. </w:t>
            </w:r>
            <w:r w:rsidR="00515FF9" w:rsidRPr="000D236A">
              <w:rPr>
                <w:sz w:val="22"/>
                <w:szCs w:val="22"/>
              </w:rPr>
              <w:t>Agnieszka Żylicz-Stachula</w:t>
            </w:r>
          </w:p>
        </w:tc>
      </w:tr>
      <w:tr w:rsidR="00171F69" w:rsidRPr="004831DA" w14:paraId="477A775E" w14:textId="77777777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3E84AFB" w14:textId="77777777"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916E00" w14:textId="19740C71"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C36E61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812762">
              <w:rPr>
                <w:b/>
                <w:sz w:val="22"/>
                <w:szCs w:val="22"/>
                <w:lang w:val="en-US"/>
              </w:rPr>
              <w:t>6</w:t>
            </w:r>
          </w:p>
          <w:p w14:paraId="2335E8A4" w14:textId="37548B31" w:rsidR="00C36E61" w:rsidRPr="004A62AB" w:rsidRDefault="0089258F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8D0FBF">
              <w:rPr>
                <w:rFonts w:eastAsiaTheme="minorHAnsi"/>
                <w:sz w:val="22"/>
                <w:szCs w:val="22"/>
                <w:lang w:val="en-GB" w:eastAsia="en-US"/>
              </w:rPr>
              <w:t xml:space="preserve">classes </w:t>
            </w:r>
            <w:r w:rsidR="00812762">
              <w:rPr>
                <w:rFonts w:eastAsiaTheme="minorHAnsi"/>
                <w:sz w:val="22"/>
                <w:szCs w:val="22"/>
                <w:lang w:val="en-GB" w:eastAsia="en-US"/>
              </w:rPr>
              <w:t>45</w:t>
            </w:r>
            <w:r w:rsidR="00C36E61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662AB1F8" w14:textId="7690E009" w:rsidR="00C36E61" w:rsidRPr="004A62AB" w:rsidRDefault="00C36E61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812762">
              <w:rPr>
                <w:rFonts w:eastAsiaTheme="minorHAnsi"/>
                <w:sz w:val="22"/>
                <w:szCs w:val="22"/>
                <w:lang w:val="en-GB" w:eastAsia="en-US"/>
              </w:rPr>
              <w:t>40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0EFA617F" w14:textId="77777777" w:rsidR="00C36E61" w:rsidRPr="004A62AB" w:rsidRDefault="008D0FBF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>student’s own work 65</w:t>
            </w:r>
            <w:r w:rsidR="00C36E61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367AF5EA" w14:textId="5BFA737A" w:rsidR="00C36E61" w:rsidRPr="000C63C2" w:rsidRDefault="00C36E61" w:rsidP="00C36E61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  <w:r w:rsidR="00812762">
              <w:rPr>
                <w:rFonts w:eastAsiaTheme="minorHAnsi"/>
                <w:sz w:val="22"/>
                <w:szCs w:val="22"/>
                <w:lang w:val="en-GB" w:eastAsia="en-US"/>
              </w:rPr>
              <w:t>50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 - </w:t>
            </w:r>
            <w:r w:rsidR="00812762">
              <w:rPr>
                <w:rFonts w:eastAsiaTheme="minorHAnsi"/>
                <w:sz w:val="22"/>
                <w:szCs w:val="22"/>
                <w:lang w:val="en-GB" w:eastAsia="en-US"/>
              </w:rPr>
              <w:t>6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ECTS</w:t>
            </w:r>
          </w:p>
          <w:p w14:paraId="2638F55D" w14:textId="77777777" w:rsidR="001B0900" w:rsidRPr="000C63C2" w:rsidRDefault="001B0900" w:rsidP="009070AA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14:paraId="7229C514" w14:textId="77777777"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C36E61" w14:paraId="2A0AB40E" w14:textId="77777777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422897" w14:textId="77777777"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14:paraId="451C01B8" w14:textId="77777777" w:rsidR="007D12CE" w:rsidRPr="000C63C2" w:rsidRDefault="00112900" w:rsidP="009C1D54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laboratory classes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7ADA04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2C31E95D" w14:textId="77777777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7AA4670" w14:textId="77777777"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14:paraId="5A5D3038" w14:textId="77777777" w:rsidR="009070AA" w:rsidRPr="000C63C2" w:rsidRDefault="00112900" w:rsidP="009070AA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In-class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0FC629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36905C94" w14:textId="77777777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25FCB" w14:textId="77777777"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4EB19B67" w14:textId="57C8D2BF" w:rsidR="005431D0" w:rsidRPr="000C63C2" w:rsidRDefault="002A224F" w:rsidP="000C63C2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  <w:r w:rsidR="000C63C2" w:rsidRPr="000C63C2">
              <w:rPr>
                <w:sz w:val="22"/>
                <w:szCs w:val="22"/>
                <w:lang w:val="en-US"/>
              </w:rPr>
              <w:t xml:space="preserve"> h - laboratory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A3A227" w14:textId="77777777"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2A55374A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3C6C43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14:paraId="38121FA8" w14:textId="77777777" w:rsidR="00241721" w:rsidRPr="000C63C2" w:rsidRDefault="000C63C2" w:rsidP="000A46A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>summer</w:t>
            </w:r>
          </w:p>
        </w:tc>
      </w:tr>
      <w:tr w:rsidR="00171F69" w:rsidRPr="000C63C2" w14:paraId="62124BBB" w14:textId="77777777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6E1C2" w14:textId="77777777" w:rsidR="00E2013A" w:rsidRPr="00BC709B" w:rsidRDefault="00E2013A" w:rsidP="00E2013A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14:paraId="2E7F9B15" w14:textId="77777777" w:rsidR="00241721" w:rsidRPr="000C63C2" w:rsidRDefault="00E2013A" w:rsidP="00E2013A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D32AB" w14:textId="77777777"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14:paraId="283DB33F" w14:textId="77777777" w:rsidR="0066480A" w:rsidRPr="000C63C2" w:rsidRDefault="007E5521" w:rsidP="007E55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4831DA" w14:paraId="5FE8DF8E" w14:textId="77777777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F02896" w14:textId="77777777"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14:paraId="0251F2AA" w14:textId="77777777"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CD71417" w14:textId="77777777" w:rsidR="00147D8C" w:rsidRPr="000C63C2" w:rsidRDefault="00147D8C" w:rsidP="00210A2F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Laboratory experiments</w:t>
            </w:r>
          </w:p>
          <w:p w14:paraId="022A6FE8" w14:textId="77777777" w:rsidR="00953F5A" w:rsidRPr="000C63C2" w:rsidRDefault="00953F5A" w:rsidP="00DC0F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3113CE94" w14:textId="77777777"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4831DA" w14:paraId="4854A515" w14:textId="77777777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528A0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23843408" w14:textId="77777777"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14:paraId="21CCC956" w14:textId="40FE5350" w:rsidR="00973D23" w:rsidRPr="000C63C2" w:rsidRDefault="00515FF9" w:rsidP="00515F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A440F3" w:rsidRPr="00092FBC">
              <w:rPr>
                <w:sz w:val="22"/>
                <w:szCs w:val="22"/>
                <w:lang w:val="en-US"/>
              </w:rPr>
              <w:t>ourse completion (with a grade)</w:t>
            </w:r>
          </w:p>
        </w:tc>
      </w:tr>
      <w:tr w:rsidR="00171F69" w:rsidRPr="004831DA" w14:paraId="079D60C9" w14:textId="77777777" w:rsidTr="00112900">
        <w:trPr>
          <w:trHeight w:val="630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4E0359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35E35CAD" w14:textId="77777777"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14:paraId="6E672FB0" w14:textId="3B8E63E6" w:rsidR="00953F5A" w:rsidRPr="000C63C2" w:rsidRDefault="00223BFE" w:rsidP="00DC0F20">
            <w:pPr>
              <w:rPr>
                <w:sz w:val="22"/>
                <w:szCs w:val="22"/>
                <w:lang w:val="en-US"/>
              </w:rPr>
            </w:pPr>
            <w:r w:rsidRPr="00223BFE">
              <w:rPr>
                <w:sz w:val="22"/>
                <w:szCs w:val="22"/>
                <w:lang w:val="en-GB"/>
              </w:rPr>
              <w:t>Laboratory exercise: conducting experiments, report preparation</w:t>
            </w:r>
            <w:r w:rsidR="00515FF9">
              <w:rPr>
                <w:sz w:val="22"/>
                <w:szCs w:val="22"/>
                <w:lang w:val="en-GB"/>
              </w:rPr>
              <w:t>; final test</w:t>
            </w:r>
          </w:p>
        </w:tc>
      </w:tr>
      <w:tr w:rsidR="00171F69" w:rsidRPr="004831DA" w14:paraId="3489A3FE" w14:textId="77777777" w:rsidTr="00112900">
        <w:trPr>
          <w:trHeight w:val="837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B96BD96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20F3F0AC" w14:textId="77777777"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14:paraId="4964AD68" w14:textId="77777777" w:rsidR="00147D8C" w:rsidRPr="000C63C2" w:rsidRDefault="00147D8C" w:rsidP="00112900">
            <w:pPr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  <w:p w14:paraId="365D4E17" w14:textId="77777777" w:rsidR="00147D8C" w:rsidRPr="00112900" w:rsidRDefault="00147D8C" w:rsidP="00147D8C">
            <w:pPr>
              <w:ind w:left="129"/>
              <w:rPr>
                <w:sz w:val="22"/>
                <w:szCs w:val="22"/>
                <w:lang w:val="en-GB"/>
              </w:rPr>
            </w:pPr>
          </w:p>
        </w:tc>
      </w:tr>
      <w:tr w:rsidR="00171F69" w:rsidRPr="004831DA" w14:paraId="39F1FB72" w14:textId="77777777" w:rsidTr="00DF42B7">
        <w:trPr>
          <w:trHeight w:val="723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526BC" w14:textId="77777777"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14:paraId="068BBD83" w14:textId="77777777"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2A224F" w14:paraId="468C9F7E" w14:textId="77777777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480861" w14:textId="77777777"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14:paraId="4D761B0C" w14:textId="7BC0A356" w:rsidR="005D2C85" w:rsidRPr="005D2C85" w:rsidRDefault="005D2C85" w:rsidP="005D2C85">
            <w:pPr>
              <w:ind w:left="271" w:hanging="271"/>
              <w:rPr>
                <w:sz w:val="22"/>
                <w:szCs w:val="22"/>
                <w:lang w:val="en-GB"/>
              </w:rPr>
            </w:pPr>
            <w:r w:rsidRPr="005D2C85">
              <w:rPr>
                <w:sz w:val="22"/>
                <w:szCs w:val="22"/>
                <w:lang w:val="en-GB"/>
              </w:rPr>
              <w:t>•</w:t>
            </w:r>
            <w:r w:rsidRPr="005D2C85">
              <w:rPr>
                <w:sz w:val="22"/>
                <w:szCs w:val="22"/>
                <w:lang w:val="en-GB"/>
              </w:rPr>
              <w:tab/>
              <w:t xml:space="preserve">To gain knowledge </w:t>
            </w:r>
            <w:r w:rsidR="005821E7">
              <w:rPr>
                <w:sz w:val="22"/>
                <w:szCs w:val="22"/>
                <w:lang w:val="en-GB"/>
              </w:rPr>
              <w:t xml:space="preserve">and skills in the field of </w:t>
            </w:r>
            <w:r w:rsidR="00B1357E" w:rsidRPr="00B1357E">
              <w:rPr>
                <w:sz w:val="22"/>
                <w:szCs w:val="22"/>
                <w:lang w:val="en-GB"/>
              </w:rPr>
              <w:t>biological macromolecules such as nucleic acids, proteins and sugars</w:t>
            </w:r>
          </w:p>
          <w:p w14:paraId="1C00589C" w14:textId="329A295F" w:rsidR="00D64029" w:rsidRDefault="005D2C85" w:rsidP="005D2C85">
            <w:pPr>
              <w:ind w:left="271" w:hanging="271"/>
              <w:rPr>
                <w:sz w:val="22"/>
                <w:szCs w:val="22"/>
                <w:lang w:val="en-GB"/>
              </w:rPr>
            </w:pPr>
            <w:r w:rsidRPr="005D2C85">
              <w:rPr>
                <w:sz w:val="22"/>
                <w:szCs w:val="22"/>
                <w:lang w:val="en-GB"/>
              </w:rPr>
              <w:t>•</w:t>
            </w:r>
            <w:r w:rsidRPr="005D2C85">
              <w:rPr>
                <w:sz w:val="22"/>
                <w:szCs w:val="22"/>
                <w:lang w:val="en-GB"/>
              </w:rPr>
              <w:tab/>
              <w:t xml:space="preserve">To gain knowledge </w:t>
            </w:r>
            <w:r w:rsidR="005821E7">
              <w:rPr>
                <w:sz w:val="22"/>
                <w:szCs w:val="22"/>
                <w:lang w:val="en-GB"/>
              </w:rPr>
              <w:t xml:space="preserve">and skills </w:t>
            </w:r>
            <w:r w:rsidRPr="005D2C85">
              <w:rPr>
                <w:sz w:val="22"/>
                <w:szCs w:val="22"/>
                <w:lang w:val="en-GB"/>
              </w:rPr>
              <w:t xml:space="preserve">in the field </w:t>
            </w:r>
            <w:r w:rsidR="00B1357E" w:rsidRPr="00B1357E">
              <w:rPr>
                <w:sz w:val="22"/>
                <w:szCs w:val="22"/>
                <w:lang w:val="en-GB"/>
              </w:rPr>
              <w:t>of analysis of selected biologically active compounds such as vitamins or plant dyes</w:t>
            </w:r>
          </w:p>
          <w:p w14:paraId="6C6751DC" w14:textId="6BD302F5" w:rsidR="00D64029" w:rsidRDefault="005D2C85" w:rsidP="005D2C85">
            <w:pPr>
              <w:ind w:left="271" w:hanging="271"/>
              <w:rPr>
                <w:sz w:val="22"/>
                <w:szCs w:val="22"/>
                <w:lang w:val="en-GB"/>
              </w:rPr>
            </w:pPr>
            <w:r w:rsidRPr="005D2C85">
              <w:rPr>
                <w:sz w:val="22"/>
                <w:szCs w:val="22"/>
                <w:lang w:val="en-GB"/>
              </w:rPr>
              <w:t>•</w:t>
            </w:r>
            <w:r w:rsidRPr="005D2C85">
              <w:rPr>
                <w:sz w:val="22"/>
                <w:szCs w:val="22"/>
                <w:lang w:val="en-GB"/>
              </w:rPr>
              <w:tab/>
            </w:r>
            <w:r w:rsidR="00D64029" w:rsidRPr="005D2C85">
              <w:rPr>
                <w:sz w:val="22"/>
                <w:szCs w:val="22"/>
                <w:lang w:val="en-GB"/>
              </w:rPr>
              <w:t xml:space="preserve">To gain knowledge </w:t>
            </w:r>
            <w:r w:rsidR="005821E7">
              <w:rPr>
                <w:sz w:val="22"/>
                <w:szCs w:val="22"/>
                <w:lang w:val="en-GB"/>
              </w:rPr>
              <w:t xml:space="preserve">and skills </w:t>
            </w:r>
            <w:r w:rsidR="00D64029" w:rsidRPr="00D64029">
              <w:rPr>
                <w:sz w:val="22"/>
                <w:szCs w:val="22"/>
                <w:lang w:val="en-GB"/>
              </w:rPr>
              <w:t>in the field of enzyme kinetics</w:t>
            </w:r>
          </w:p>
          <w:p w14:paraId="46C01FA9" w14:textId="351AC397" w:rsidR="00D47121" w:rsidRDefault="00D64029" w:rsidP="005D2C85">
            <w:pPr>
              <w:ind w:left="271" w:hanging="271"/>
              <w:rPr>
                <w:sz w:val="22"/>
                <w:szCs w:val="22"/>
                <w:lang w:val="en-GB"/>
              </w:rPr>
            </w:pPr>
            <w:r w:rsidRPr="005D2C85">
              <w:rPr>
                <w:sz w:val="22"/>
                <w:szCs w:val="22"/>
                <w:lang w:val="en-GB"/>
              </w:rPr>
              <w:t>•</w:t>
            </w:r>
            <w:r w:rsidRPr="005D2C85">
              <w:rPr>
                <w:sz w:val="22"/>
                <w:szCs w:val="22"/>
                <w:lang w:val="en-GB"/>
              </w:rPr>
              <w:tab/>
              <w:t xml:space="preserve">To gain knowledge </w:t>
            </w:r>
            <w:r w:rsidR="005821E7">
              <w:rPr>
                <w:sz w:val="22"/>
                <w:szCs w:val="22"/>
                <w:lang w:val="en-GB"/>
              </w:rPr>
              <w:t>and skills in the field of</w:t>
            </w:r>
            <w:r w:rsidRPr="00D64029">
              <w:rPr>
                <w:sz w:val="22"/>
                <w:szCs w:val="22"/>
                <w:lang w:val="en-GB"/>
              </w:rPr>
              <w:t xml:space="preserve"> microorganisms in biotechnology and the food industry</w:t>
            </w:r>
            <w:r w:rsidR="005821E7">
              <w:rPr>
                <w:sz w:val="22"/>
                <w:szCs w:val="22"/>
                <w:lang w:val="en-GB"/>
              </w:rPr>
              <w:t xml:space="preserve"> applications</w:t>
            </w:r>
          </w:p>
          <w:p w14:paraId="538B8104" w14:textId="77777777" w:rsidR="00E2013A" w:rsidRDefault="00E2013A" w:rsidP="00D64029">
            <w:pPr>
              <w:rPr>
                <w:sz w:val="22"/>
                <w:szCs w:val="22"/>
                <w:lang w:val="en-GB"/>
              </w:rPr>
            </w:pPr>
          </w:p>
          <w:p w14:paraId="29E16280" w14:textId="6215FE89" w:rsidR="00E2013A" w:rsidRPr="000C63C2" w:rsidRDefault="00E2013A" w:rsidP="005D2C85">
            <w:pPr>
              <w:ind w:left="271" w:hanging="271"/>
              <w:rPr>
                <w:sz w:val="22"/>
                <w:szCs w:val="22"/>
                <w:lang w:val="en-GB"/>
              </w:rPr>
            </w:pPr>
            <w:r w:rsidRPr="00C36E61">
              <w:rPr>
                <w:b/>
                <w:sz w:val="22"/>
                <w:szCs w:val="22"/>
                <w:lang w:val="en-US"/>
              </w:rPr>
              <w:t xml:space="preserve">Convergent to: </w:t>
            </w:r>
            <w:r w:rsidR="00D64029">
              <w:rPr>
                <w:sz w:val="22"/>
                <w:szCs w:val="22"/>
                <w:lang w:val="en-US"/>
              </w:rPr>
              <w:t>biochemistry</w:t>
            </w:r>
            <w:r w:rsidRPr="00C36E61">
              <w:rPr>
                <w:sz w:val="22"/>
                <w:szCs w:val="22"/>
                <w:lang w:val="en-US"/>
              </w:rPr>
              <w:t xml:space="preserve">, </w:t>
            </w:r>
            <w:r w:rsidR="00D64029">
              <w:rPr>
                <w:sz w:val="22"/>
                <w:szCs w:val="22"/>
                <w:lang w:val="en-US"/>
              </w:rPr>
              <w:t>biotechnology</w:t>
            </w:r>
          </w:p>
        </w:tc>
      </w:tr>
      <w:tr w:rsidR="00171F69" w:rsidRPr="004831DA" w14:paraId="23BA40B8" w14:textId="77777777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F7A32" w14:textId="77777777"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14:paraId="70F5E0B4" w14:textId="647C539C" w:rsidR="0051039F" w:rsidRPr="000C63C2" w:rsidRDefault="008207ED" w:rsidP="00B82901">
            <w:pPr>
              <w:spacing w:after="100" w:afterAutospacing="1"/>
              <w:rPr>
                <w:sz w:val="22"/>
                <w:szCs w:val="22"/>
                <w:lang w:val="en-US"/>
              </w:rPr>
            </w:pPr>
            <w:r w:rsidRPr="008207ED">
              <w:rPr>
                <w:sz w:val="22"/>
                <w:szCs w:val="22"/>
                <w:lang w:val="en-US"/>
              </w:rPr>
              <w:t>The use of microorganisms in biotechnology and industry. Conducting the cultivation of microorganisms</w:t>
            </w:r>
            <w:r w:rsidR="001A157A">
              <w:rPr>
                <w:sz w:val="22"/>
                <w:szCs w:val="22"/>
                <w:lang w:val="en-US"/>
              </w:rPr>
              <w:t xml:space="preserve"> (yeast or bacteria).</w:t>
            </w:r>
            <w:r w:rsidRPr="008207ED">
              <w:rPr>
                <w:sz w:val="22"/>
                <w:szCs w:val="22"/>
                <w:lang w:val="en-US"/>
              </w:rPr>
              <w:t xml:space="preserve"> Methods of isolation and analysis of nucleic acids. Methods of carbohydrate analysis, their characteristic reactions. Methods of protein separation and analysis. Agarose and polyacrylamide electrophoresis (SDS-PAGE). </w:t>
            </w:r>
            <w:r w:rsidRPr="008207ED">
              <w:rPr>
                <w:sz w:val="22"/>
                <w:szCs w:val="22"/>
                <w:lang w:val="en-US"/>
              </w:rPr>
              <w:lastRenderedPageBreak/>
              <w:t>Adsorption chromatography: TLC and column</w:t>
            </w:r>
            <w:r w:rsidR="001A157A">
              <w:rPr>
                <w:sz w:val="22"/>
                <w:szCs w:val="22"/>
                <w:lang w:val="en-US"/>
              </w:rPr>
              <w:t xml:space="preserve"> chromatography</w:t>
            </w:r>
            <w:r w:rsidRPr="008207ED">
              <w:rPr>
                <w:sz w:val="22"/>
                <w:szCs w:val="22"/>
                <w:lang w:val="en-US"/>
              </w:rPr>
              <w:t xml:space="preserve">. </w:t>
            </w:r>
            <w:r w:rsidR="00B82901" w:rsidRPr="00B82901">
              <w:rPr>
                <w:sz w:val="22"/>
                <w:szCs w:val="22"/>
                <w:lang w:val="en-US"/>
              </w:rPr>
              <w:t>Photosynthesis, characteristics,</w:t>
            </w:r>
            <w:r w:rsidR="00B82901">
              <w:rPr>
                <w:sz w:val="22"/>
                <w:szCs w:val="22"/>
                <w:lang w:val="en-US"/>
              </w:rPr>
              <w:t xml:space="preserve"> </w:t>
            </w:r>
            <w:r w:rsidR="00B82901" w:rsidRPr="00B82901">
              <w:rPr>
                <w:sz w:val="22"/>
                <w:szCs w:val="22"/>
                <w:lang w:val="en-US"/>
              </w:rPr>
              <w:t>chlorophyl and accompanying dyes.</w:t>
            </w:r>
            <w:r w:rsidR="00B82901">
              <w:rPr>
                <w:sz w:val="22"/>
                <w:szCs w:val="22"/>
                <w:lang w:val="en-US"/>
              </w:rPr>
              <w:t xml:space="preserve"> </w:t>
            </w:r>
            <w:r w:rsidRPr="008207ED">
              <w:rPr>
                <w:sz w:val="22"/>
                <w:szCs w:val="22"/>
                <w:lang w:val="en-US"/>
              </w:rPr>
              <w:t>Analysis of plant dyes. Enzyme kinetics - optimal enzyme operating conditions, parameters affecting enzyme activity, reaction inhibitors.</w:t>
            </w:r>
          </w:p>
        </w:tc>
      </w:tr>
      <w:tr w:rsidR="00171F69" w:rsidRPr="00223BFE" w14:paraId="10A2CC6F" w14:textId="77777777" w:rsidTr="000D236A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5198E7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62B3106D" w14:textId="674D4AEE" w:rsidR="000D236A" w:rsidRPr="004831DA" w:rsidRDefault="00FE72C3" w:rsidP="00FE72C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831DA">
              <w:rPr>
                <w:sz w:val="22"/>
                <w:szCs w:val="22"/>
                <w:lang w:val="en-US"/>
              </w:rPr>
              <w:t xml:space="preserve">1. </w:t>
            </w:r>
            <w:r w:rsidR="000D236A" w:rsidRPr="004831DA">
              <w:rPr>
                <w:sz w:val="22"/>
                <w:szCs w:val="22"/>
                <w:lang w:val="en-US"/>
              </w:rPr>
              <w:t>Stryer L., Berg J., Tymoczko J., Gatto G.: Biochemistry, Macmillan Learning, 2019</w:t>
            </w:r>
          </w:p>
          <w:p w14:paraId="122E17CD" w14:textId="77777777" w:rsidR="000C63C2" w:rsidRPr="004831DA" w:rsidRDefault="00FE72C3" w:rsidP="00FE72C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831DA">
              <w:rPr>
                <w:sz w:val="22"/>
                <w:szCs w:val="22"/>
                <w:lang w:val="en-US"/>
              </w:rPr>
              <w:t>2. Green M.R., Sambrook J.:</w:t>
            </w:r>
            <w:r w:rsidR="000D236A" w:rsidRPr="004831DA">
              <w:rPr>
                <w:sz w:val="22"/>
                <w:szCs w:val="22"/>
                <w:lang w:val="en-US"/>
              </w:rPr>
              <w:t xml:space="preserve"> </w:t>
            </w:r>
            <w:r w:rsidRPr="004831DA">
              <w:rPr>
                <w:lang w:val="en-US"/>
              </w:rPr>
              <w:t>Molecular Cloning: A Laboratory Manual, 4th edition, Cold Spring Harbor Laboratory Press, 2012</w:t>
            </w:r>
          </w:p>
          <w:p w14:paraId="4CD0A033" w14:textId="57820870" w:rsidR="00FE72C3" w:rsidRDefault="00FE72C3" w:rsidP="00FE72C3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FE72C3">
              <w:t>Kłyszejko-Stefanowicz L.</w:t>
            </w:r>
            <w:r w:rsidR="00C66168">
              <w:t>:</w:t>
            </w:r>
            <w:r w:rsidRPr="00FE72C3">
              <w:t xml:space="preserve"> Ćwiczenia z biochemii, Wydawnictwo Naukowe PWN, Warszawa 2005</w:t>
            </w:r>
          </w:p>
          <w:p w14:paraId="674657CA" w14:textId="3A55AE47" w:rsidR="00C66168" w:rsidRPr="00FE72C3" w:rsidRDefault="00C66168" w:rsidP="00FE72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4. Drożdż B.: Analiza jakościowa związków organicznych, Collegium Medicum UJ, Kraków 2013</w:t>
            </w:r>
          </w:p>
        </w:tc>
      </w:tr>
      <w:tr w:rsidR="00171F69" w:rsidRPr="004831DA" w14:paraId="76811B25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6EF4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14:paraId="6B6CEF87" w14:textId="3A954E45" w:rsidR="00D11811" w:rsidRPr="00D11811" w:rsidRDefault="00D11811" w:rsidP="00D11811">
            <w:pPr>
              <w:rPr>
                <w:bCs/>
                <w:sz w:val="22"/>
                <w:szCs w:val="22"/>
                <w:lang w:val="en-US"/>
              </w:rPr>
            </w:pPr>
            <w:r w:rsidRPr="00D11811">
              <w:rPr>
                <w:bCs/>
                <w:sz w:val="22"/>
                <w:szCs w:val="22"/>
                <w:lang w:val="en-US"/>
              </w:rPr>
              <w:t xml:space="preserve">1. Student names and describes differences in the structure of </w:t>
            </w:r>
            <w:r w:rsidR="00DC33E8">
              <w:rPr>
                <w:bCs/>
                <w:sz w:val="22"/>
                <w:szCs w:val="22"/>
                <w:lang w:val="en-US"/>
              </w:rPr>
              <w:t xml:space="preserve">basic macromolecules such as </w:t>
            </w:r>
            <w:r w:rsidR="00DC33E8" w:rsidRPr="00DC33E8">
              <w:rPr>
                <w:bCs/>
                <w:sz w:val="22"/>
                <w:szCs w:val="22"/>
                <w:lang w:val="en-US"/>
              </w:rPr>
              <w:t>proteins, nucleic acids and carbohydrates</w:t>
            </w:r>
            <w:r w:rsidR="00DC33E8">
              <w:rPr>
                <w:bCs/>
                <w:sz w:val="22"/>
                <w:szCs w:val="22"/>
                <w:lang w:val="en-US"/>
              </w:rPr>
              <w:t>.</w:t>
            </w:r>
          </w:p>
          <w:p w14:paraId="5F85F08F" w14:textId="34A0F659" w:rsidR="002224D7" w:rsidRDefault="00D11811" w:rsidP="00D11811">
            <w:pPr>
              <w:rPr>
                <w:bCs/>
                <w:sz w:val="22"/>
                <w:szCs w:val="22"/>
                <w:lang w:val="en-US"/>
              </w:rPr>
            </w:pPr>
            <w:r w:rsidRPr="00D11811">
              <w:rPr>
                <w:bCs/>
                <w:sz w:val="22"/>
                <w:szCs w:val="22"/>
                <w:lang w:val="en-US"/>
              </w:rPr>
              <w:t xml:space="preserve">2. </w:t>
            </w:r>
            <w:r w:rsidR="00DC33E8">
              <w:rPr>
                <w:bCs/>
                <w:sz w:val="22"/>
                <w:szCs w:val="22"/>
                <w:lang w:val="en-US"/>
              </w:rPr>
              <w:t>S</w:t>
            </w:r>
            <w:r w:rsidR="00DC33E8" w:rsidRPr="00DC33E8">
              <w:rPr>
                <w:bCs/>
                <w:sz w:val="22"/>
                <w:szCs w:val="22"/>
                <w:lang w:val="en-US"/>
              </w:rPr>
              <w:t xml:space="preserve">tudent knows </w:t>
            </w:r>
            <w:r w:rsidR="00053827">
              <w:rPr>
                <w:bCs/>
                <w:sz w:val="22"/>
                <w:szCs w:val="22"/>
                <w:lang w:val="en-US"/>
              </w:rPr>
              <w:t xml:space="preserve">the </w:t>
            </w:r>
            <w:r w:rsidR="00DC33E8" w:rsidRPr="00DC33E8">
              <w:rPr>
                <w:bCs/>
                <w:sz w:val="22"/>
                <w:szCs w:val="22"/>
                <w:lang w:val="en-US"/>
              </w:rPr>
              <w:t>basic</w:t>
            </w:r>
            <w:r w:rsidR="00053827">
              <w:rPr>
                <w:bCs/>
                <w:sz w:val="22"/>
                <w:szCs w:val="22"/>
                <w:lang w:val="en-US"/>
              </w:rPr>
              <w:t>s of</w:t>
            </w:r>
            <w:r w:rsidR="00DC33E8" w:rsidRPr="00DC33E8">
              <w:rPr>
                <w:bCs/>
                <w:sz w:val="22"/>
                <w:szCs w:val="22"/>
                <w:lang w:val="en-US"/>
              </w:rPr>
              <w:t xml:space="preserve"> separation </w:t>
            </w:r>
            <w:r w:rsidR="001A157A">
              <w:rPr>
                <w:bCs/>
                <w:sz w:val="22"/>
                <w:szCs w:val="22"/>
                <w:lang w:val="en-US"/>
              </w:rPr>
              <w:t xml:space="preserve">and analytical </w:t>
            </w:r>
            <w:r w:rsidR="00DC33E8" w:rsidRPr="00DC33E8">
              <w:rPr>
                <w:bCs/>
                <w:sz w:val="22"/>
                <w:szCs w:val="22"/>
                <w:lang w:val="en-US"/>
              </w:rPr>
              <w:t xml:space="preserve">techniques of selected macromolecules, </w:t>
            </w:r>
            <w:r w:rsidR="001A157A">
              <w:rPr>
                <w:bCs/>
                <w:sz w:val="22"/>
                <w:szCs w:val="22"/>
                <w:lang w:val="en-US"/>
              </w:rPr>
              <w:t>incl.</w:t>
            </w:r>
            <w:r w:rsidR="00DC33E8" w:rsidRPr="00DC33E8">
              <w:rPr>
                <w:bCs/>
                <w:sz w:val="22"/>
                <w:szCs w:val="22"/>
                <w:lang w:val="en-US"/>
              </w:rPr>
              <w:t xml:space="preserve"> adsorption chromatography or agarose/polyacrylamide gel electrophoresis. </w:t>
            </w:r>
          </w:p>
          <w:p w14:paraId="73D80F48" w14:textId="42CF4527" w:rsidR="00C6147B" w:rsidRDefault="00DC33E8" w:rsidP="00D11811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3. </w:t>
            </w:r>
            <w:r w:rsidR="00C6147B">
              <w:rPr>
                <w:bCs/>
                <w:sz w:val="22"/>
                <w:szCs w:val="22"/>
                <w:lang w:val="en-US"/>
              </w:rPr>
              <w:t>S</w:t>
            </w:r>
            <w:r w:rsidR="00C6147B" w:rsidRPr="002224D7">
              <w:rPr>
                <w:bCs/>
                <w:sz w:val="22"/>
                <w:szCs w:val="22"/>
                <w:lang w:val="en-US"/>
              </w:rPr>
              <w:t>tudent is able to indicate and describe reaction parameters that influence the kinetics of enzymes.</w:t>
            </w:r>
          </w:p>
          <w:p w14:paraId="2B0EF60A" w14:textId="28B60E09" w:rsidR="00DC33E8" w:rsidRDefault="00C6147B" w:rsidP="00D11811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4. </w:t>
            </w:r>
            <w:r w:rsidR="002224D7">
              <w:rPr>
                <w:bCs/>
                <w:sz w:val="22"/>
                <w:szCs w:val="22"/>
                <w:lang w:val="en-US"/>
              </w:rPr>
              <w:t>S</w:t>
            </w:r>
            <w:r w:rsidR="002224D7" w:rsidRPr="002224D7">
              <w:rPr>
                <w:bCs/>
                <w:sz w:val="22"/>
                <w:szCs w:val="22"/>
                <w:lang w:val="en-US"/>
              </w:rPr>
              <w:t xml:space="preserve">tudent </w:t>
            </w:r>
            <w:r w:rsidR="002224D7">
              <w:rPr>
                <w:bCs/>
                <w:sz w:val="22"/>
                <w:szCs w:val="22"/>
                <w:lang w:val="en-US"/>
              </w:rPr>
              <w:t xml:space="preserve">has </w:t>
            </w:r>
            <w:r w:rsidR="00053827">
              <w:rPr>
                <w:bCs/>
                <w:sz w:val="22"/>
                <w:szCs w:val="22"/>
                <w:lang w:val="en-US"/>
              </w:rPr>
              <w:t xml:space="preserve">the </w:t>
            </w:r>
            <w:r w:rsidR="002224D7">
              <w:rPr>
                <w:bCs/>
                <w:sz w:val="22"/>
                <w:szCs w:val="22"/>
                <w:lang w:val="en-US"/>
              </w:rPr>
              <w:t>knowledge about</w:t>
            </w:r>
            <w:r w:rsidR="002224D7" w:rsidRPr="002224D7">
              <w:rPr>
                <w:bCs/>
                <w:sz w:val="22"/>
                <w:szCs w:val="22"/>
                <w:lang w:val="en-US"/>
              </w:rPr>
              <w:t xml:space="preserve"> the applications of microorganisms in biotechnology and the food industry.</w:t>
            </w:r>
          </w:p>
          <w:p w14:paraId="6C222F65" w14:textId="63969C2C" w:rsidR="002224D7" w:rsidRPr="000C63C2" w:rsidRDefault="00C6147B" w:rsidP="00D1181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2224D7">
              <w:rPr>
                <w:bCs/>
                <w:sz w:val="22"/>
                <w:szCs w:val="22"/>
                <w:lang w:val="en-US"/>
              </w:rPr>
              <w:t xml:space="preserve">. </w:t>
            </w:r>
            <w:r w:rsidR="000D236A">
              <w:rPr>
                <w:bCs/>
                <w:sz w:val="22"/>
                <w:szCs w:val="22"/>
                <w:lang w:val="en-US"/>
              </w:rPr>
              <w:t>S</w:t>
            </w:r>
            <w:r w:rsidRPr="00C6147B">
              <w:rPr>
                <w:bCs/>
                <w:sz w:val="22"/>
                <w:szCs w:val="22"/>
                <w:lang w:val="en-US"/>
              </w:rPr>
              <w:t xml:space="preserve">tudent </w:t>
            </w:r>
            <w:r w:rsidR="00053827">
              <w:rPr>
                <w:bCs/>
                <w:sz w:val="22"/>
                <w:szCs w:val="22"/>
                <w:lang w:val="en-US"/>
              </w:rPr>
              <w:t xml:space="preserve">describes the impact of </w:t>
            </w:r>
            <w:r w:rsidRPr="00C6147B">
              <w:rPr>
                <w:bCs/>
                <w:sz w:val="22"/>
                <w:szCs w:val="22"/>
                <w:lang w:val="en-US"/>
              </w:rPr>
              <w:t>maintain</w:t>
            </w:r>
            <w:r w:rsidR="00053827">
              <w:rPr>
                <w:bCs/>
                <w:sz w:val="22"/>
                <w:szCs w:val="22"/>
                <w:lang w:val="en-US"/>
              </w:rPr>
              <w:t>ing</w:t>
            </w:r>
            <w:r w:rsidRPr="00C6147B">
              <w:rPr>
                <w:bCs/>
                <w:sz w:val="22"/>
                <w:szCs w:val="22"/>
                <w:lang w:val="en-US"/>
              </w:rPr>
              <w:t xml:space="preserve"> sterile conditions when working with microorganisms.</w:t>
            </w:r>
          </w:p>
        </w:tc>
      </w:tr>
      <w:tr w:rsidR="00171F69" w:rsidRPr="004831DA" w14:paraId="42C83817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B491C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14:paraId="4A583D1E" w14:textId="4A664967" w:rsidR="00D11811" w:rsidRPr="00D11811" w:rsidRDefault="00D11811" w:rsidP="00D11811">
            <w:pPr>
              <w:jc w:val="both"/>
              <w:rPr>
                <w:sz w:val="22"/>
                <w:szCs w:val="22"/>
                <w:lang w:val="en-US"/>
              </w:rPr>
            </w:pPr>
            <w:r w:rsidRPr="00D11811">
              <w:rPr>
                <w:sz w:val="22"/>
                <w:szCs w:val="22"/>
                <w:lang w:val="en-US"/>
              </w:rPr>
              <w:t xml:space="preserve">1. </w:t>
            </w:r>
            <w:r w:rsidR="002224D7">
              <w:rPr>
                <w:sz w:val="22"/>
                <w:szCs w:val="22"/>
                <w:lang w:val="en-US"/>
              </w:rPr>
              <w:t>Student i</w:t>
            </w:r>
            <w:r w:rsidRPr="00D11811">
              <w:rPr>
                <w:sz w:val="22"/>
                <w:szCs w:val="22"/>
                <w:lang w:val="en-US"/>
              </w:rPr>
              <w:t xml:space="preserve">s able to prepare </w:t>
            </w:r>
            <w:r w:rsidR="00285FB1">
              <w:rPr>
                <w:sz w:val="22"/>
                <w:szCs w:val="22"/>
                <w:lang w:val="en-US"/>
              </w:rPr>
              <w:t>own laboratory environment in order to w</w:t>
            </w:r>
            <w:r w:rsidRPr="00D11811">
              <w:rPr>
                <w:sz w:val="22"/>
                <w:szCs w:val="22"/>
                <w:lang w:val="en-US"/>
              </w:rPr>
              <w:t>ork aseptically.</w:t>
            </w:r>
          </w:p>
          <w:p w14:paraId="362D81F7" w14:textId="390CBB7F" w:rsidR="00D11811" w:rsidRPr="00D11811" w:rsidRDefault="00D11811" w:rsidP="00D11811">
            <w:pPr>
              <w:jc w:val="both"/>
              <w:rPr>
                <w:sz w:val="22"/>
                <w:szCs w:val="22"/>
                <w:lang w:val="en-US"/>
              </w:rPr>
            </w:pPr>
            <w:r w:rsidRPr="00D11811">
              <w:rPr>
                <w:sz w:val="22"/>
                <w:szCs w:val="22"/>
                <w:lang w:val="en-US"/>
              </w:rPr>
              <w:t xml:space="preserve">2. </w:t>
            </w:r>
            <w:r w:rsidR="002224D7">
              <w:rPr>
                <w:sz w:val="22"/>
                <w:szCs w:val="22"/>
                <w:lang w:val="en-US"/>
              </w:rPr>
              <w:t>Student f</w:t>
            </w:r>
            <w:r w:rsidRPr="00D11811">
              <w:rPr>
                <w:sz w:val="22"/>
                <w:szCs w:val="22"/>
                <w:lang w:val="en-US"/>
              </w:rPr>
              <w:t xml:space="preserve">ollows given experimental procedures and rules of work with </w:t>
            </w:r>
            <w:r>
              <w:rPr>
                <w:sz w:val="22"/>
                <w:szCs w:val="22"/>
                <w:lang w:val="en-US"/>
              </w:rPr>
              <w:t xml:space="preserve">chemical compounds as well as </w:t>
            </w:r>
            <w:r w:rsidRPr="00D11811">
              <w:rPr>
                <w:sz w:val="22"/>
                <w:szCs w:val="22"/>
                <w:lang w:val="en-US"/>
              </w:rPr>
              <w:t>microorganisms.</w:t>
            </w:r>
          </w:p>
          <w:p w14:paraId="2F2DA62C" w14:textId="664584E8" w:rsidR="00006C93" w:rsidRDefault="00D11811" w:rsidP="00D11811">
            <w:pPr>
              <w:jc w:val="both"/>
              <w:rPr>
                <w:sz w:val="22"/>
                <w:szCs w:val="22"/>
                <w:lang w:val="en-US"/>
              </w:rPr>
            </w:pPr>
            <w:r w:rsidRPr="00D11811">
              <w:rPr>
                <w:sz w:val="22"/>
                <w:szCs w:val="22"/>
                <w:lang w:val="en-US"/>
              </w:rPr>
              <w:t xml:space="preserve">3. </w:t>
            </w:r>
            <w:r w:rsidR="002224D7">
              <w:rPr>
                <w:sz w:val="22"/>
                <w:szCs w:val="22"/>
                <w:lang w:val="en-US"/>
              </w:rPr>
              <w:t>Student p</w:t>
            </w:r>
            <w:r w:rsidRPr="00D11811">
              <w:rPr>
                <w:sz w:val="22"/>
                <w:szCs w:val="22"/>
                <w:lang w:val="en-US"/>
              </w:rPr>
              <w:t>erforms chemical calculations needed to perform experiments.</w:t>
            </w:r>
          </w:p>
          <w:p w14:paraId="06A42D2F" w14:textId="63A0E0A7" w:rsidR="00D11811" w:rsidRDefault="00D11811" w:rsidP="00D118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 </w:t>
            </w:r>
            <w:r w:rsidR="002224D7">
              <w:rPr>
                <w:sz w:val="22"/>
                <w:szCs w:val="22"/>
                <w:lang w:val="en-US"/>
              </w:rPr>
              <w:t>Student i</w:t>
            </w:r>
            <w:r>
              <w:rPr>
                <w:sz w:val="22"/>
                <w:szCs w:val="22"/>
                <w:lang w:val="en-US"/>
              </w:rPr>
              <w:t>s able to analyze basic features of macromolecules such as nucleic acids, proteins and sugars.</w:t>
            </w:r>
          </w:p>
          <w:p w14:paraId="12501DB8" w14:textId="21C0EE2E" w:rsidR="00D11811" w:rsidRPr="00D11811" w:rsidRDefault="00D11811" w:rsidP="00D118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D11811">
              <w:rPr>
                <w:sz w:val="22"/>
                <w:szCs w:val="22"/>
                <w:lang w:val="en-US"/>
              </w:rPr>
              <w:t xml:space="preserve">. </w:t>
            </w:r>
            <w:r w:rsidR="002224D7">
              <w:rPr>
                <w:sz w:val="22"/>
                <w:szCs w:val="22"/>
                <w:lang w:val="en-US"/>
              </w:rPr>
              <w:t>Student i</w:t>
            </w:r>
            <w:r w:rsidRPr="00D11811">
              <w:rPr>
                <w:sz w:val="22"/>
                <w:szCs w:val="22"/>
                <w:lang w:val="en-US"/>
              </w:rPr>
              <w:t>ndividually plans the course of experiments to perform.</w:t>
            </w:r>
          </w:p>
          <w:p w14:paraId="2690D072" w14:textId="3D35E3CC" w:rsidR="00D11811" w:rsidRPr="00D11811" w:rsidRDefault="00D11811" w:rsidP="00D118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D11811">
              <w:rPr>
                <w:sz w:val="22"/>
                <w:szCs w:val="22"/>
                <w:lang w:val="en-US"/>
              </w:rPr>
              <w:t xml:space="preserve">. </w:t>
            </w:r>
            <w:r w:rsidR="002224D7">
              <w:rPr>
                <w:sz w:val="22"/>
                <w:szCs w:val="22"/>
                <w:lang w:val="en-US"/>
              </w:rPr>
              <w:t xml:space="preserve">Student </w:t>
            </w:r>
            <w:r w:rsidR="001A5B5D">
              <w:rPr>
                <w:sz w:val="22"/>
                <w:szCs w:val="22"/>
                <w:lang w:val="en-US"/>
              </w:rPr>
              <w:t>is able to interpret and comment the o</w:t>
            </w:r>
            <w:r w:rsidRPr="00D11811">
              <w:rPr>
                <w:sz w:val="22"/>
                <w:szCs w:val="22"/>
                <w:lang w:val="en-US"/>
              </w:rPr>
              <w:t>btained experimental results</w:t>
            </w:r>
            <w:r w:rsidR="00285FB1">
              <w:rPr>
                <w:sz w:val="22"/>
                <w:szCs w:val="22"/>
                <w:lang w:val="en-US"/>
              </w:rPr>
              <w:t xml:space="preserve"> and presents them in a written form (a report).</w:t>
            </w:r>
          </w:p>
          <w:p w14:paraId="422C911F" w14:textId="53775655" w:rsidR="00D11811" w:rsidRPr="000C63C2" w:rsidRDefault="00D11811" w:rsidP="00D118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11811">
              <w:rPr>
                <w:sz w:val="22"/>
                <w:szCs w:val="22"/>
                <w:lang w:val="en-US"/>
              </w:rPr>
              <w:t xml:space="preserve">. </w:t>
            </w:r>
            <w:r w:rsidR="002224D7">
              <w:rPr>
                <w:sz w:val="22"/>
                <w:szCs w:val="22"/>
                <w:lang w:val="en-US"/>
              </w:rPr>
              <w:t>Student i</w:t>
            </w:r>
            <w:r w:rsidRPr="00D11811">
              <w:rPr>
                <w:sz w:val="22"/>
                <w:szCs w:val="22"/>
                <w:lang w:val="en-US"/>
              </w:rPr>
              <w:t>s able to involve knowledge from different fields while concluding after an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D11811">
              <w:rPr>
                <w:sz w:val="22"/>
                <w:szCs w:val="22"/>
                <w:lang w:val="en-US"/>
              </w:rPr>
              <w:t>experiment.</w:t>
            </w:r>
          </w:p>
        </w:tc>
      </w:tr>
      <w:tr w:rsidR="00171F69" w:rsidRPr="004831DA" w14:paraId="04A5B21C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C9E6E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14:paraId="62F68DCB" w14:textId="252906C5" w:rsidR="00006C93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1. </w:t>
            </w:r>
            <w:r w:rsidR="002224D7">
              <w:rPr>
                <w:sz w:val="22"/>
                <w:szCs w:val="22"/>
                <w:lang w:val="en-US"/>
              </w:rPr>
              <w:t>Student u</w:t>
            </w:r>
            <w:r w:rsidRPr="000C63C2">
              <w:rPr>
                <w:sz w:val="22"/>
                <w:szCs w:val="22"/>
                <w:lang w:val="en-US"/>
              </w:rPr>
              <w:t xml:space="preserve">nderstands the need for further education in the field of </w:t>
            </w:r>
            <w:r w:rsidR="005230D0">
              <w:rPr>
                <w:sz w:val="22"/>
                <w:szCs w:val="22"/>
                <w:lang w:val="en-US"/>
              </w:rPr>
              <w:t>biochemistry and biotechnology</w:t>
            </w:r>
            <w:r w:rsidR="00D11811">
              <w:rPr>
                <w:sz w:val="22"/>
                <w:szCs w:val="22"/>
                <w:lang w:val="en-US"/>
              </w:rPr>
              <w:t>.</w:t>
            </w:r>
          </w:p>
          <w:p w14:paraId="27AA888D" w14:textId="69792B3E" w:rsidR="00006C93" w:rsidRPr="000C63C2" w:rsidRDefault="00006C93" w:rsidP="00006C93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2. </w:t>
            </w:r>
            <w:r w:rsidR="00D11811">
              <w:rPr>
                <w:sz w:val="22"/>
                <w:szCs w:val="22"/>
                <w:lang w:val="en-US"/>
              </w:rPr>
              <w:t>S</w:t>
            </w:r>
            <w:r w:rsidR="002224D7">
              <w:rPr>
                <w:sz w:val="22"/>
                <w:szCs w:val="22"/>
                <w:lang w:val="en-US"/>
              </w:rPr>
              <w:t>tudent s</w:t>
            </w:r>
            <w:r w:rsidR="005230D0" w:rsidRPr="005230D0">
              <w:rPr>
                <w:sz w:val="22"/>
                <w:szCs w:val="22"/>
                <w:lang w:val="en-US"/>
              </w:rPr>
              <w:t>hows creativity as well in individual and team work</w:t>
            </w:r>
            <w:r w:rsidR="00D11811">
              <w:rPr>
                <w:sz w:val="22"/>
                <w:szCs w:val="22"/>
                <w:lang w:val="en-US"/>
              </w:rPr>
              <w:t>.</w:t>
            </w:r>
          </w:p>
          <w:p w14:paraId="544560F6" w14:textId="48F6BB32" w:rsidR="00070A9B" w:rsidRPr="000C63C2" w:rsidRDefault="00006C93" w:rsidP="00BC5BF2">
            <w:pPr>
              <w:jc w:val="both"/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3. </w:t>
            </w:r>
            <w:r w:rsidR="002224D7">
              <w:rPr>
                <w:sz w:val="22"/>
                <w:szCs w:val="22"/>
                <w:lang w:val="en-US"/>
              </w:rPr>
              <w:t>Student i</w:t>
            </w:r>
            <w:r w:rsidR="005230D0" w:rsidRPr="005230D0">
              <w:rPr>
                <w:sz w:val="22"/>
                <w:szCs w:val="22"/>
                <w:lang w:val="en-US"/>
              </w:rPr>
              <w:t>s careful when handling chemicals or biological materials</w:t>
            </w:r>
            <w:r w:rsidR="00D11811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3AE8F7F" w14:textId="77777777"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71A5" w14:textId="77777777" w:rsidR="00D228DD" w:rsidRDefault="00D228DD" w:rsidP="00941E09">
      <w:r>
        <w:separator/>
      </w:r>
    </w:p>
  </w:endnote>
  <w:endnote w:type="continuationSeparator" w:id="0">
    <w:p w14:paraId="33967005" w14:textId="77777777" w:rsidR="00D228DD" w:rsidRDefault="00D228DD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07A1" w14:textId="77777777"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F3138D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AD56" w14:textId="77777777" w:rsidR="00D228DD" w:rsidRDefault="00D228DD" w:rsidP="00941E09">
      <w:r>
        <w:separator/>
      </w:r>
    </w:p>
  </w:footnote>
  <w:footnote w:type="continuationSeparator" w:id="0">
    <w:p w14:paraId="01F6E121" w14:textId="77777777" w:rsidR="00D228DD" w:rsidRDefault="00D228DD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6FC8" w14:textId="77777777"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3208F1D2" wp14:editId="1C31CB59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14:paraId="17C015EA" w14:textId="77777777"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3F1565B5" w14:textId="77777777"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32EBB755" w14:textId="77777777"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3DC323BC"/>
    <w:multiLevelType w:val="hybridMultilevel"/>
    <w:tmpl w:val="B7C8E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155"/>
    <w:multiLevelType w:val="hybridMultilevel"/>
    <w:tmpl w:val="60CE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85600">
    <w:abstractNumId w:val="0"/>
  </w:num>
  <w:num w:numId="2" w16cid:durableId="1383214386">
    <w:abstractNumId w:val="1"/>
  </w:num>
  <w:num w:numId="3" w16cid:durableId="2100566185">
    <w:abstractNumId w:val="3"/>
  </w:num>
  <w:num w:numId="4" w16cid:durableId="10654926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I1MTAzNTcwMjBW0lEKTi0uzszPAymwqAUAvF7XBywAAAA="/>
  </w:docVars>
  <w:rsids>
    <w:rsidRoot w:val="00241721"/>
    <w:rsid w:val="00001C8A"/>
    <w:rsid w:val="00003A3F"/>
    <w:rsid w:val="000055AA"/>
    <w:rsid w:val="000066A6"/>
    <w:rsid w:val="00006C93"/>
    <w:rsid w:val="000147DA"/>
    <w:rsid w:val="000301F0"/>
    <w:rsid w:val="00053827"/>
    <w:rsid w:val="000579BC"/>
    <w:rsid w:val="000608A3"/>
    <w:rsid w:val="00070A9B"/>
    <w:rsid w:val="00072F1A"/>
    <w:rsid w:val="00094EBE"/>
    <w:rsid w:val="000A07C2"/>
    <w:rsid w:val="000A4010"/>
    <w:rsid w:val="000A46AF"/>
    <w:rsid w:val="000A660C"/>
    <w:rsid w:val="000C2F61"/>
    <w:rsid w:val="000C63C2"/>
    <w:rsid w:val="000D236A"/>
    <w:rsid w:val="000D5F19"/>
    <w:rsid w:val="000E2B97"/>
    <w:rsid w:val="000E3726"/>
    <w:rsid w:val="000F2A8E"/>
    <w:rsid w:val="00112900"/>
    <w:rsid w:val="00115DF5"/>
    <w:rsid w:val="00117F8D"/>
    <w:rsid w:val="00145F4C"/>
    <w:rsid w:val="0014617F"/>
    <w:rsid w:val="00147D8C"/>
    <w:rsid w:val="00154970"/>
    <w:rsid w:val="00161FAD"/>
    <w:rsid w:val="0016309E"/>
    <w:rsid w:val="001651DC"/>
    <w:rsid w:val="00171F69"/>
    <w:rsid w:val="0017654F"/>
    <w:rsid w:val="00177B43"/>
    <w:rsid w:val="00180193"/>
    <w:rsid w:val="001979AC"/>
    <w:rsid w:val="001A157A"/>
    <w:rsid w:val="001A1E8A"/>
    <w:rsid w:val="001A38C8"/>
    <w:rsid w:val="001A3A83"/>
    <w:rsid w:val="001A5B5D"/>
    <w:rsid w:val="001A68A8"/>
    <w:rsid w:val="001B0900"/>
    <w:rsid w:val="001C4432"/>
    <w:rsid w:val="001D5371"/>
    <w:rsid w:val="001E4534"/>
    <w:rsid w:val="001F038B"/>
    <w:rsid w:val="001F1328"/>
    <w:rsid w:val="0020664F"/>
    <w:rsid w:val="00210A2F"/>
    <w:rsid w:val="002158FC"/>
    <w:rsid w:val="002224D7"/>
    <w:rsid w:val="00223BFE"/>
    <w:rsid w:val="002241B7"/>
    <w:rsid w:val="00225937"/>
    <w:rsid w:val="00226C55"/>
    <w:rsid w:val="00232793"/>
    <w:rsid w:val="0023459E"/>
    <w:rsid w:val="00241721"/>
    <w:rsid w:val="00265EB9"/>
    <w:rsid w:val="00271A3A"/>
    <w:rsid w:val="00271FBB"/>
    <w:rsid w:val="00273F03"/>
    <w:rsid w:val="00285FB1"/>
    <w:rsid w:val="00290F46"/>
    <w:rsid w:val="002A224F"/>
    <w:rsid w:val="002A2E8A"/>
    <w:rsid w:val="002D1C12"/>
    <w:rsid w:val="002E1525"/>
    <w:rsid w:val="002E3B6C"/>
    <w:rsid w:val="002E6D3F"/>
    <w:rsid w:val="002F1093"/>
    <w:rsid w:val="002F3125"/>
    <w:rsid w:val="002F7DF7"/>
    <w:rsid w:val="00307AD1"/>
    <w:rsid w:val="0031497A"/>
    <w:rsid w:val="00315902"/>
    <w:rsid w:val="00321495"/>
    <w:rsid w:val="00322FF3"/>
    <w:rsid w:val="00345929"/>
    <w:rsid w:val="0037138B"/>
    <w:rsid w:val="00373E52"/>
    <w:rsid w:val="00393900"/>
    <w:rsid w:val="003968EC"/>
    <w:rsid w:val="00397563"/>
    <w:rsid w:val="003A5287"/>
    <w:rsid w:val="003B13F9"/>
    <w:rsid w:val="003B40D7"/>
    <w:rsid w:val="003C1888"/>
    <w:rsid w:val="003D5BF2"/>
    <w:rsid w:val="003E2662"/>
    <w:rsid w:val="003E6429"/>
    <w:rsid w:val="0040012F"/>
    <w:rsid w:val="004037C8"/>
    <w:rsid w:val="00410C33"/>
    <w:rsid w:val="00411FF8"/>
    <w:rsid w:val="004306A1"/>
    <w:rsid w:val="00453F1E"/>
    <w:rsid w:val="0048100E"/>
    <w:rsid w:val="004831DA"/>
    <w:rsid w:val="00483C3B"/>
    <w:rsid w:val="00485C42"/>
    <w:rsid w:val="00487AB5"/>
    <w:rsid w:val="004A19EF"/>
    <w:rsid w:val="004A27BA"/>
    <w:rsid w:val="004B491C"/>
    <w:rsid w:val="004B6FA5"/>
    <w:rsid w:val="004B7B65"/>
    <w:rsid w:val="004C0CF8"/>
    <w:rsid w:val="004C756C"/>
    <w:rsid w:val="004E2490"/>
    <w:rsid w:val="004F7945"/>
    <w:rsid w:val="00501F58"/>
    <w:rsid w:val="00506330"/>
    <w:rsid w:val="00506C86"/>
    <w:rsid w:val="0051039F"/>
    <w:rsid w:val="00515FF9"/>
    <w:rsid w:val="005230D0"/>
    <w:rsid w:val="00526196"/>
    <w:rsid w:val="005431D0"/>
    <w:rsid w:val="00560294"/>
    <w:rsid w:val="0057541A"/>
    <w:rsid w:val="005821E7"/>
    <w:rsid w:val="00593082"/>
    <w:rsid w:val="00593EB9"/>
    <w:rsid w:val="005945B6"/>
    <w:rsid w:val="005B566B"/>
    <w:rsid w:val="005C4854"/>
    <w:rsid w:val="005D2C85"/>
    <w:rsid w:val="005E2330"/>
    <w:rsid w:val="005E3A42"/>
    <w:rsid w:val="00620A9A"/>
    <w:rsid w:val="00620EEF"/>
    <w:rsid w:val="00624DC6"/>
    <w:rsid w:val="00625373"/>
    <w:rsid w:val="006602B5"/>
    <w:rsid w:val="0066480A"/>
    <w:rsid w:val="00676A27"/>
    <w:rsid w:val="00677F13"/>
    <w:rsid w:val="00680440"/>
    <w:rsid w:val="006849B0"/>
    <w:rsid w:val="00697075"/>
    <w:rsid w:val="006A0AD9"/>
    <w:rsid w:val="006A37B8"/>
    <w:rsid w:val="006A6793"/>
    <w:rsid w:val="006B121A"/>
    <w:rsid w:val="006B1D12"/>
    <w:rsid w:val="006B366A"/>
    <w:rsid w:val="006B6509"/>
    <w:rsid w:val="006C1ABB"/>
    <w:rsid w:val="006D165E"/>
    <w:rsid w:val="006D6880"/>
    <w:rsid w:val="006E430A"/>
    <w:rsid w:val="006F17B2"/>
    <w:rsid w:val="00703D34"/>
    <w:rsid w:val="007049EC"/>
    <w:rsid w:val="00705274"/>
    <w:rsid w:val="0072323E"/>
    <w:rsid w:val="00731BCA"/>
    <w:rsid w:val="00736FA8"/>
    <w:rsid w:val="00747738"/>
    <w:rsid w:val="007527BE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12CE"/>
    <w:rsid w:val="007D50AD"/>
    <w:rsid w:val="007E5521"/>
    <w:rsid w:val="007F330E"/>
    <w:rsid w:val="007F74CE"/>
    <w:rsid w:val="007F7E9D"/>
    <w:rsid w:val="008109EE"/>
    <w:rsid w:val="008122C2"/>
    <w:rsid w:val="00812762"/>
    <w:rsid w:val="008207ED"/>
    <w:rsid w:val="008211E6"/>
    <w:rsid w:val="00822F50"/>
    <w:rsid w:val="00872223"/>
    <w:rsid w:val="00872DA4"/>
    <w:rsid w:val="0087514C"/>
    <w:rsid w:val="008832D6"/>
    <w:rsid w:val="00883C59"/>
    <w:rsid w:val="0089258F"/>
    <w:rsid w:val="00897260"/>
    <w:rsid w:val="008A0701"/>
    <w:rsid w:val="008A53D0"/>
    <w:rsid w:val="008A67FA"/>
    <w:rsid w:val="008B7B2B"/>
    <w:rsid w:val="008C053D"/>
    <w:rsid w:val="008D0FBF"/>
    <w:rsid w:val="008D1E04"/>
    <w:rsid w:val="008F5D9A"/>
    <w:rsid w:val="009070AA"/>
    <w:rsid w:val="0090787B"/>
    <w:rsid w:val="00924E54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93F23"/>
    <w:rsid w:val="009A20EF"/>
    <w:rsid w:val="009A24AB"/>
    <w:rsid w:val="009A3F76"/>
    <w:rsid w:val="009C1D54"/>
    <w:rsid w:val="009E3F36"/>
    <w:rsid w:val="009F6101"/>
    <w:rsid w:val="00A05716"/>
    <w:rsid w:val="00A13C6F"/>
    <w:rsid w:val="00A15050"/>
    <w:rsid w:val="00A15F9B"/>
    <w:rsid w:val="00A20758"/>
    <w:rsid w:val="00A24A90"/>
    <w:rsid w:val="00A440F3"/>
    <w:rsid w:val="00A45F95"/>
    <w:rsid w:val="00A47702"/>
    <w:rsid w:val="00A47D1D"/>
    <w:rsid w:val="00A6323E"/>
    <w:rsid w:val="00A6663A"/>
    <w:rsid w:val="00A77667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F2C86"/>
    <w:rsid w:val="00B0087C"/>
    <w:rsid w:val="00B10958"/>
    <w:rsid w:val="00B11B80"/>
    <w:rsid w:val="00B13321"/>
    <w:rsid w:val="00B1357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82901"/>
    <w:rsid w:val="00B83724"/>
    <w:rsid w:val="00B961EA"/>
    <w:rsid w:val="00B97144"/>
    <w:rsid w:val="00BA16F8"/>
    <w:rsid w:val="00BA2987"/>
    <w:rsid w:val="00BB14EF"/>
    <w:rsid w:val="00BB442A"/>
    <w:rsid w:val="00BC445F"/>
    <w:rsid w:val="00BC5BF2"/>
    <w:rsid w:val="00BD3F77"/>
    <w:rsid w:val="00BD7886"/>
    <w:rsid w:val="00BD7EF1"/>
    <w:rsid w:val="00BE1569"/>
    <w:rsid w:val="00BF1038"/>
    <w:rsid w:val="00BF75E1"/>
    <w:rsid w:val="00C15306"/>
    <w:rsid w:val="00C15595"/>
    <w:rsid w:val="00C175B6"/>
    <w:rsid w:val="00C33541"/>
    <w:rsid w:val="00C36E61"/>
    <w:rsid w:val="00C462A2"/>
    <w:rsid w:val="00C6147B"/>
    <w:rsid w:val="00C65211"/>
    <w:rsid w:val="00C66168"/>
    <w:rsid w:val="00C768BB"/>
    <w:rsid w:val="00C80BD7"/>
    <w:rsid w:val="00C83F4A"/>
    <w:rsid w:val="00C91415"/>
    <w:rsid w:val="00C922FC"/>
    <w:rsid w:val="00C954A2"/>
    <w:rsid w:val="00CC51AF"/>
    <w:rsid w:val="00CD29F1"/>
    <w:rsid w:val="00CD4456"/>
    <w:rsid w:val="00CD49DE"/>
    <w:rsid w:val="00CE4D65"/>
    <w:rsid w:val="00CF5C9E"/>
    <w:rsid w:val="00D11811"/>
    <w:rsid w:val="00D228DD"/>
    <w:rsid w:val="00D4506C"/>
    <w:rsid w:val="00D47121"/>
    <w:rsid w:val="00D51E95"/>
    <w:rsid w:val="00D6323E"/>
    <w:rsid w:val="00D64029"/>
    <w:rsid w:val="00D93227"/>
    <w:rsid w:val="00DC0F20"/>
    <w:rsid w:val="00DC33E8"/>
    <w:rsid w:val="00DE3F01"/>
    <w:rsid w:val="00DE524E"/>
    <w:rsid w:val="00DE701F"/>
    <w:rsid w:val="00DF357C"/>
    <w:rsid w:val="00DF42B7"/>
    <w:rsid w:val="00DF6B43"/>
    <w:rsid w:val="00E2013A"/>
    <w:rsid w:val="00E32DE4"/>
    <w:rsid w:val="00E3309A"/>
    <w:rsid w:val="00E454F4"/>
    <w:rsid w:val="00E66F4A"/>
    <w:rsid w:val="00E72664"/>
    <w:rsid w:val="00E72EB3"/>
    <w:rsid w:val="00E81CF5"/>
    <w:rsid w:val="00E8665C"/>
    <w:rsid w:val="00E90896"/>
    <w:rsid w:val="00EA7496"/>
    <w:rsid w:val="00EA7A2E"/>
    <w:rsid w:val="00EB5009"/>
    <w:rsid w:val="00EB7ACA"/>
    <w:rsid w:val="00EC60B7"/>
    <w:rsid w:val="00ED17B2"/>
    <w:rsid w:val="00ED5E7A"/>
    <w:rsid w:val="00EE313C"/>
    <w:rsid w:val="00EE5AA8"/>
    <w:rsid w:val="00EE75E7"/>
    <w:rsid w:val="00F07814"/>
    <w:rsid w:val="00F11A65"/>
    <w:rsid w:val="00F1315D"/>
    <w:rsid w:val="00F308E0"/>
    <w:rsid w:val="00F3138D"/>
    <w:rsid w:val="00F4282D"/>
    <w:rsid w:val="00F52157"/>
    <w:rsid w:val="00F57AD8"/>
    <w:rsid w:val="00F8070B"/>
    <w:rsid w:val="00F90DE5"/>
    <w:rsid w:val="00FA69D3"/>
    <w:rsid w:val="00FB236D"/>
    <w:rsid w:val="00FC7833"/>
    <w:rsid w:val="00FD6EE0"/>
    <w:rsid w:val="00FE1E7B"/>
    <w:rsid w:val="00FE72C3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E7A6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58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60AB7-53D0-4AC0-9992-81582EF8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638</Words>
  <Characters>3918</Characters>
  <Application>Microsoft Office Word</Application>
  <DocSecurity>0</DocSecurity>
  <Lines>122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Krefft</dc:creator>
  <cp:lastModifiedBy>Dagmara Strumińska-Parulska</cp:lastModifiedBy>
  <cp:revision>9</cp:revision>
  <cp:lastPrinted>2019-06-03T08:53:00Z</cp:lastPrinted>
  <dcterms:created xsi:type="dcterms:W3CDTF">2023-09-26T06:20:00Z</dcterms:created>
  <dcterms:modified xsi:type="dcterms:W3CDTF">2023-09-28T09:13:00Z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22dca7cc2a4e319f3a43b6a5fb25042ed6d81b270e39f63304b7dae15f14dfc1</vt:lpwstr>
  </property>
</Properties>
</file>