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F91CE8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Ino</w:t>
            </w:r>
            <w:r w:rsidR="00CC3F09" w:rsidRPr="00CC3F09">
              <w:rPr>
                <w:sz w:val="22"/>
                <w:szCs w:val="22"/>
                <w:lang w:val="en-US"/>
              </w:rPr>
              <w:t>rganic chemistry</w:t>
            </w:r>
            <w:r w:rsidR="00CC3F09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CC3F09" w:rsidP="002141DE">
            <w:pPr>
              <w:rPr>
                <w:sz w:val="22"/>
                <w:szCs w:val="22"/>
                <w:lang w:val="en-US"/>
              </w:rPr>
            </w:pPr>
            <w:proofErr w:type="spellStart"/>
            <w:r w:rsidRPr="00CC3F09">
              <w:rPr>
                <w:sz w:val="22"/>
                <w:szCs w:val="22"/>
                <w:lang w:val="en-US"/>
              </w:rPr>
              <w:t>Chemia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91CE8">
              <w:rPr>
                <w:sz w:val="22"/>
                <w:szCs w:val="22"/>
                <w:lang w:val="en-US"/>
              </w:rPr>
              <w:t>nie</w:t>
            </w:r>
            <w:r w:rsidRPr="00CC3F09">
              <w:rPr>
                <w:sz w:val="22"/>
                <w:szCs w:val="22"/>
                <w:lang w:val="en-US"/>
              </w:rPr>
              <w:t>organiczna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 xml:space="preserve">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E04CE2" w:rsidP="00E04CE2">
            <w:pPr>
              <w:rPr>
                <w:sz w:val="22"/>
                <w:szCs w:val="22"/>
                <w:lang w:val="en-US"/>
              </w:rPr>
            </w:pPr>
            <w:r w:rsidRPr="00E04CE2">
              <w:rPr>
                <w:sz w:val="22"/>
                <w:szCs w:val="22"/>
                <w:lang w:val="en-US"/>
              </w:rPr>
              <w:t>Inorganic chemistry</w:t>
            </w:r>
            <w:bookmarkStart w:id="0" w:name="_GoBack"/>
            <w:bookmarkEnd w:id="0"/>
          </w:p>
        </w:tc>
      </w:tr>
      <w:tr w:rsidR="00171F69" w:rsidRPr="00F91CE8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B7AAF" w:rsidRPr="000C63C2" w:rsidTr="00210A2F">
              <w:tc>
                <w:tcPr>
                  <w:tcW w:w="2568" w:type="dxa"/>
                </w:tcPr>
                <w:p w:rsidR="003B7AAF" w:rsidRPr="00825F01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3B7AAF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3B7AAF" w:rsidRPr="000C63C2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3B7AAF" w:rsidRPr="000C63C2" w:rsidRDefault="003B7AAF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F91CE8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F91CE8" w:rsidRDefault="00953F5A" w:rsidP="00F91CE8">
            <w:pPr>
              <w:rPr>
                <w:sz w:val="22"/>
                <w:szCs w:val="22"/>
                <w:lang w:val="en-US"/>
              </w:rPr>
            </w:pPr>
            <w:proofErr w:type="spellStart"/>
            <w:r w:rsidRPr="00ED2DC6">
              <w:rPr>
                <w:sz w:val="22"/>
                <w:szCs w:val="22"/>
                <w:lang w:val="en-US"/>
              </w:rPr>
              <w:t>d</w:t>
            </w:r>
            <w:r w:rsidR="00E72664" w:rsidRPr="00ED2DC6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ED2DC6">
              <w:rPr>
                <w:sz w:val="22"/>
                <w:szCs w:val="22"/>
                <w:lang w:val="en-US"/>
              </w:rPr>
              <w:t xml:space="preserve"> hab. </w:t>
            </w:r>
            <w:proofErr w:type="spellStart"/>
            <w:r w:rsidR="00F91CE8">
              <w:rPr>
                <w:sz w:val="22"/>
                <w:szCs w:val="22"/>
                <w:lang w:val="en-US"/>
              </w:rPr>
              <w:t>Dariusz</w:t>
            </w:r>
            <w:proofErr w:type="spellEnd"/>
            <w:r w:rsidR="00F91C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91CE8">
              <w:rPr>
                <w:sz w:val="22"/>
                <w:szCs w:val="22"/>
                <w:lang w:val="en-US"/>
              </w:rPr>
              <w:t>Wyrzykowski</w:t>
            </w:r>
            <w:proofErr w:type="spellEnd"/>
            <w:r w:rsidR="00F91CE8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="00F91CE8">
              <w:rPr>
                <w:sz w:val="22"/>
                <w:szCs w:val="22"/>
                <w:lang w:val="en-US"/>
              </w:rPr>
              <w:t>dr</w:t>
            </w:r>
            <w:proofErr w:type="spellEnd"/>
            <w:r w:rsidR="00F91CE8">
              <w:rPr>
                <w:sz w:val="22"/>
                <w:szCs w:val="22"/>
                <w:lang w:val="en-US"/>
              </w:rPr>
              <w:t xml:space="preserve"> hab. Joanna </w:t>
            </w:r>
            <w:proofErr w:type="spellStart"/>
            <w:r w:rsidR="00F91CE8">
              <w:rPr>
                <w:sz w:val="22"/>
                <w:szCs w:val="22"/>
                <w:lang w:val="en-US"/>
              </w:rPr>
              <w:t>Makowska</w:t>
            </w:r>
            <w:proofErr w:type="spellEnd"/>
            <w:r w:rsidR="00F91CE8">
              <w:rPr>
                <w:sz w:val="22"/>
                <w:szCs w:val="22"/>
                <w:lang w:val="en-US"/>
              </w:rPr>
              <w:t>, prof. UG</w:t>
            </w:r>
          </w:p>
        </w:tc>
      </w:tr>
      <w:tr w:rsidR="00171F69" w:rsidRPr="00F91CE8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CC3F09">
              <w:rPr>
                <w:b/>
                <w:sz w:val="22"/>
                <w:szCs w:val="22"/>
                <w:lang w:val="en-US"/>
              </w:rPr>
              <w:t>6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60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7</w:t>
            </w:r>
            <w:r w:rsidR="003175BC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F91CE8">
              <w:rPr>
                <w:rFonts w:eastAsiaTheme="minorHAnsi"/>
                <w:sz w:val="22"/>
                <w:szCs w:val="22"/>
                <w:lang w:val="en-GB" w:eastAsia="en-US"/>
              </w:rPr>
              <w:t>6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CC3F09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F91CE8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F91CE8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F91CE8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F91CE8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F91CE8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F91CE8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F91CE8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F91CE8" w:rsidRPr="00F91CE8" w:rsidRDefault="00CC3F09" w:rsidP="00F91CE8">
            <w:pPr>
              <w:rPr>
                <w:sz w:val="22"/>
                <w:szCs w:val="22"/>
                <w:lang w:val="en-GB"/>
              </w:rPr>
            </w:pPr>
            <w:r w:rsidRPr="00CC3F09">
              <w:rPr>
                <w:sz w:val="22"/>
                <w:szCs w:val="22"/>
                <w:lang w:val="en-GB"/>
              </w:rPr>
              <w:t xml:space="preserve">• </w:t>
            </w:r>
            <w:r w:rsidR="00F91CE8" w:rsidRPr="00F91CE8">
              <w:rPr>
                <w:sz w:val="22"/>
                <w:szCs w:val="22"/>
                <w:lang w:val="en-GB"/>
              </w:rPr>
              <w:t>presenting basic issues in inorganic chemistry to students</w:t>
            </w:r>
          </w:p>
          <w:p w:rsidR="00F91CE8" w:rsidRPr="00F91CE8" w:rsidRDefault="00F91CE8" w:rsidP="00F91CE8">
            <w:pPr>
              <w:rPr>
                <w:sz w:val="22"/>
                <w:szCs w:val="22"/>
                <w:lang w:val="en-GB"/>
              </w:rPr>
            </w:pPr>
            <w:r w:rsidRPr="00F91CE8">
              <w:rPr>
                <w:sz w:val="22"/>
                <w:szCs w:val="22"/>
                <w:lang w:val="en-GB"/>
              </w:rPr>
              <w:t>• familiarize students with fundamental properties of the elements and inorganic compounds as well as their industrial role</w:t>
            </w:r>
          </w:p>
          <w:p w:rsidR="00ED2DC6" w:rsidRPr="000C63C2" w:rsidRDefault="00F91CE8" w:rsidP="00F91CE8">
            <w:pPr>
              <w:rPr>
                <w:sz w:val="22"/>
                <w:szCs w:val="22"/>
                <w:lang w:val="en-GB"/>
              </w:rPr>
            </w:pPr>
            <w:r w:rsidRPr="00F91CE8">
              <w:rPr>
                <w:sz w:val="22"/>
                <w:szCs w:val="22"/>
                <w:lang w:val="en-GB"/>
              </w:rPr>
              <w:t>• familiarize students with the basis of chemical calculations in the field of inorganic chemistry</w:t>
            </w:r>
          </w:p>
        </w:tc>
      </w:tr>
      <w:tr w:rsidR="00171F69" w:rsidRPr="00F91CE8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F91CE8" w:rsidRPr="00F91CE8" w:rsidRDefault="00F91CE8" w:rsidP="00F91C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F91CE8">
              <w:rPr>
                <w:sz w:val="22"/>
                <w:szCs w:val="22"/>
                <w:lang w:val="en-US"/>
              </w:rPr>
              <w:t>eriodicity and the chemistry of the elements, physicochemical properties of inorganic and coordination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 xml:space="preserve">compounds. The following items are included: periodicity, chemical bonding, coordination compounds, types of chemical </w:t>
            </w:r>
            <w:r>
              <w:rPr>
                <w:sz w:val="22"/>
                <w:szCs w:val="22"/>
                <w:lang w:val="en-US"/>
              </w:rPr>
              <w:t>r</w:t>
            </w:r>
            <w:r w:rsidRPr="00F91CE8">
              <w:rPr>
                <w:sz w:val="22"/>
                <w:szCs w:val="22"/>
                <w:lang w:val="en-US"/>
              </w:rPr>
              <w:t>eactions,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properties of chemical elements and their compounds. The groups of elements are presented in the following order: group 1, group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2, group 13, group14, group 15, group 16, group 17, group 18, and d-elements (groups 3-12; first transition row, second transition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row, and third transition row).</w:t>
            </w:r>
          </w:p>
          <w:p w:rsidR="00001C8A" w:rsidRPr="000C63C2" w:rsidRDefault="00F91CE8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Laboratory classes:</w:t>
            </w:r>
            <w:r w:rsidRPr="00F91CE8">
              <w:rPr>
                <w:sz w:val="22"/>
                <w:szCs w:val="22"/>
                <w:lang w:val="en-US"/>
              </w:rPr>
              <w:t xml:space="preserve"> investigation of physicochemical properties of the elements, inorganic and coordination compounds based 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chemical experiments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F91CE8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CC3F09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CC3F09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CC3F09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CC3F0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F91CE8" w:rsidRPr="00F91CE8" w:rsidRDefault="00F91CE8" w:rsidP="00F91CE8">
            <w:pPr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Chemistry of the Elements, N. N. Greenwood, A. Earnshaw, Elsevier Science &amp; Technology Books, 2005</w:t>
            </w:r>
          </w:p>
          <w:p w:rsidR="000C63C2" w:rsidRPr="00CC3F09" w:rsidRDefault="00F91CE8" w:rsidP="00F91CE8">
            <w:pPr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 xml:space="preserve">General chemistry, Wendell H. </w:t>
            </w:r>
            <w:proofErr w:type="spellStart"/>
            <w:r w:rsidRPr="00F91CE8">
              <w:rPr>
                <w:sz w:val="22"/>
                <w:szCs w:val="22"/>
                <w:lang w:val="en-US"/>
              </w:rPr>
              <w:t>Slabaugh</w:t>
            </w:r>
            <w:proofErr w:type="spellEnd"/>
            <w:r w:rsidRPr="00F91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91CE8">
              <w:rPr>
                <w:sz w:val="22"/>
                <w:szCs w:val="22"/>
                <w:lang w:val="en-US"/>
              </w:rPr>
              <w:t>Theran</w:t>
            </w:r>
            <w:proofErr w:type="spellEnd"/>
            <w:r w:rsidRPr="00F91CE8">
              <w:rPr>
                <w:sz w:val="22"/>
                <w:szCs w:val="22"/>
                <w:lang w:val="en-US"/>
              </w:rPr>
              <w:t xml:space="preserve"> D. Parsons, New York: John Wiley and Sons, 1966</w:t>
            </w:r>
          </w:p>
        </w:tc>
      </w:tr>
      <w:tr w:rsidR="00171F69" w:rsidRPr="00F91CE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F91CE8" w:rsidRPr="00F91CE8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know how to correctly write names, formulas chemical compounds.</w:t>
            </w:r>
          </w:p>
          <w:p w:rsidR="00F91CE8" w:rsidRPr="00F91CE8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know properties and application of elements from blocks s, p, d, f, respectively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complex inorganic structures.</w:t>
            </w:r>
          </w:p>
          <w:p w:rsidR="00070A9B" w:rsidRPr="00997D7C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are able to define the basic rules of safety and hygiene during inorganic chemistry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reactions.</w:t>
            </w:r>
          </w:p>
        </w:tc>
      </w:tr>
      <w:tr w:rsidR="00171F69" w:rsidRPr="00F91CE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F91CE8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plan and select the right equipment and measuring apparatus, conduct observations and simple chemical measurements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chemical experiments in inorganic chemistry, analyze the results and make conclusions based on them.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F91CE8" w:rsidRPr="00F91CE8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explain similarities and differences in properties of elements, relations between structure of substances and their properties;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notice causal links in chemical processes performed in different conditions, where typical chemical reactions occur; explain course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of different phenomena from everyday life with the use of chemical knowledge in correlation with other sciences; interpret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information, formulates conclusions and explain opinions.</w:t>
            </w:r>
          </w:p>
          <w:p w:rsidR="00CC3F09" w:rsidRPr="000C63C2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have skills of drawing correct conclusions based on available data from different sources, interpret and analyze information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connected with chemistry presented as text, tables, plots, schemes, figures</w:t>
            </w:r>
          </w:p>
        </w:tc>
      </w:tr>
      <w:tr w:rsidR="00171F69" w:rsidRPr="00F91CE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F91CE8" w:rsidRPr="00F91CE8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are aware of existing connections between the environment, industry and chemistry.</w:t>
            </w:r>
          </w:p>
          <w:p w:rsidR="00F91CE8" w:rsidRPr="00F91CE8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have the appropriate habits of work in the inorganic chemistry laboratory, in particular with toxic and caustic substances.</w:t>
            </w:r>
          </w:p>
          <w:p w:rsidR="00070A9B" w:rsidRPr="000C63C2" w:rsidRDefault="00F91CE8" w:rsidP="00F91CE8">
            <w:pPr>
              <w:jc w:val="both"/>
              <w:rPr>
                <w:sz w:val="22"/>
                <w:szCs w:val="22"/>
                <w:lang w:val="en-US"/>
              </w:rPr>
            </w:pPr>
            <w:r w:rsidRPr="00F91CE8">
              <w:rPr>
                <w:sz w:val="22"/>
                <w:szCs w:val="22"/>
                <w:lang w:val="en-US"/>
              </w:rPr>
              <w:t>Students are acting in accordance with the principles of occupational health and safety. Students are able to identify their level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CE8">
              <w:rPr>
                <w:sz w:val="22"/>
                <w:szCs w:val="22"/>
                <w:lang w:val="en-US"/>
              </w:rPr>
              <w:t>knowledge and skills and understand the necessity of life-long learning in organic chemistry and personal development.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4B" w:rsidRDefault="0085444B" w:rsidP="00941E09">
      <w:r>
        <w:separator/>
      </w:r>
    </w:p>
  </w:endnote>
  <w:endnote w:type="continuationSeparator" w:id="0">
    <w:p w:rsidR="0085444B" w:rsidRDefault="0085444B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E04CE2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4B" w:rsidRDefault="0085444B" w:rsidP="00941E09">
      <w:r>
        <w:separator/>
      </w:r>
    </w:p>
  </w:footnote>
  <w:footnote w:type="continuationSeparator" w:id="0">
    <w:p w:rsidR="0085444B" w:rsidRDefault="0085444B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gUAAKKDd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B163D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13F9"/>
    <w:rsid w:val="003B40D7"/>
    <w:rsid w:val="003B7AAF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5444B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77C94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3F09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04CE2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220FF"/>
    <w:rsid w:val="00F4282D"/>
    <w:rsid w:val="00F46A9F"/>
    <w:rsid w:val="00F52157"/>
    <w:rsid w:val="00F57AD8"/>
    <w:rsid w:val="00F8070B"/>
    <w:rsid w:val="00F90DE5"/>
    <w:rsid w:val="00F91CE8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CC02-F727-4DA2-A4E1-31CBC1EF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36</cp:revision>
  <cp:lastPrinted>2019-06-03T08:53:00Z</cp:lastPrinted>
  <dcterms:created xsi:type="dcterms:W3CDTF">2019-06-06T08:22:00Z</dcterms:created>
  <dcterms:modified xsi:type="dcterms:W3CDTF">2022-03-04T07:53:00Z</dcterms:modified>
</cp:coreProperties>
</file>