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F73D29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F73D29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8A071D" w:rsidRDefault="008A071D" w:rsidP="00210A2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Food </w:t>
            </w:r>
            <w:r>
              <w:rPr>
                <w:sz w:val="22"/>
                <w:szCs w:val="22"/>
                <w:lang w:val="en-US"/>
              </w:rPr>
              <w:t>radiochemistry and r</w:t>
            </w:r>
            <w:r w:rsidRPr="000C63C2">
              <w:rPr>
                <w:sz w:val="22"/>
                <w:szCs w:val="22"/>
                <w:lang w:val="en-US"/>
              </w:rPr>
              <w:t xml:space="preserve">adiation </w:t>
            </w:r>
            <w:r>
              <w:rPr>
                <w:sz w:val="22"/>
                <w:szCs w:val="22"/>
                <w:lang w:val="en-US"/>
              </w:rPr>
              <w:t>p</w:t>
            </w:r>
            <w:r w:rsidRPr="000C63C2">
              <w:rPr>
                <w:sz w:val="22"/>
                <w:szCs w:val="22"/>
                <w:lang w:val="en-US"/>
              </w:rPr>
              <w:t>rotection</w:t>
            </w:r>
            <w:r>
              <w:rPr>
                <w:sz w:val="22"/>
                <w:szCs w:val="22"/>
                <w:lang w:val="en-US"/>
              </w:rPr>
              <w:t xml:space="preserve"> – ERASMUS</w:t>
            </w:r>
          </w:p>
          <w:p w:rsidR="00241721" w:rsidRPr="008A071D" w:rsidRDefault="00953F5A" w:rsidP="008A071D">
            <w:pPr>
              <w:rPr>
                <w:sz w:val="22"/>
                <w:szCs w:val="22"/>
              </w:rPr>
            </w:pPr>
            <w:r w:rsidRPr="000C63C2">
              <w:rPr>
                <w:sz w:val="22"/>
                <w:szCs w:val="22"/>
              </w:rPr>
              <w:t>Radiochemia żywności i ochrona radiologiczna</w:t>
            </w:r>
            <w:r w:rsidR="008A071D">
              <w:rPr>
                <w:sz w:val="22"/>
                <w:szCs w:val="22"/>
              </w:rPr>
              <w:t xml:space="preserve"> - ERASMUS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AA3ACA" w:rsidP="00AA3ACA">
            <w:pPr>
              <w:rPr>
                <w:sz w:val="22"/>
                <w:szCs w:val="22"/>
                <w:lang w:val="en-US"/>
              </w:rPr>
            </w:pPr>
            <w:r w:rsidRPr="00AA3ACA">
              <w:rPr>
                <w:sz w:val="22"/>
                <w:szCs w:val="22"/>
                <w:lang w:val="en-US"/>
              </w:rPr>
              <w:t>13.3.1268</w:t>
            </w:r>
            <w:bookmarkStart w:id="0" w:name="_GoBack"/>
            <w:bookmarkEnd w:id="0"/>
          </w:p>
        </w:tc>
      </w:tr>
      <w:tr w:rsidR="00171F69" w:rsidRPr="00F73D29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20B85" w:rsidRPr="000C63C2" w:rsidTr="00210A2F">
              <w:tc>
                <w:tcPr>
                  <w:tcW w:w="2568" w:type="dxa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320B85" w:rsidRPr="000C63C2" w:rsidRDefault="00320B85" w:rsidP="00320B85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20EEF" w:rsidP="00B330C7">
            <w:pPr>
              <w:rPr>
                <w:b/>
                <w:sz w:val="22"/>
                <w:szCs w:val="22"/>
              </w:rPr>
            </w:pPr>
            <w:proofErr w:type="spellStart"/>
            <w:r w:rsidRPr="000C63C2">
              <w:rPr>
                <w:b/>
                <w:sz w:val="22"/>
                <w:szCs w:val="22"/>
              </w:rPr>
              <w:t>Teaching</w:t>
            </w:r>
            <w:proofErr w:type="spellEnd"/>
            <w:r w:rsidRPr="000C63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63C2">
              <w:rPr>
                <w:b/>
                <w:sz w:val="22"/>
                <w:szCs w:val="22"/>
              </w:rPr>
              <w:t>staff</w:t>
            </w:r>
            <w:proofErr w:type="spellEnd"/>
          </w:p>
          <w:p w:rsidR="00241721" w:rsidRPr="000C63C2" w:rsidRDefault="00953F5A" w:rsidP="000C63C2">
            <w:pPr>
              <w:rPr>
                <w:sz w:val="22"/>
                <w:szCs w:val="22"/>
              </w:rPr>
            </w:pPr>
            <w:r w:rsidRPr="000C63C2">
              <w:rPr>
                <w:sz w:val="22"/>
                <w:szCs w:val="22"/>
              </w:rPr>
              <w:t>d</w:t>
            </w:r>
            <w:r w:rsidR="00E72664" w:rsidRPr="000C63C2">
              <w:rPr>
                <w:sz w:val="22"/>
                <w:szCs w:val="22"/>
              </w:rPr>
              <w:t xml:space="preserve">r hab. Dagmara Strumińska-Parulska, prof. </w:t>
            </w:r>
            <w:r w:rsidR="000C63C2" w:rsidRPr="000C63C2">
              <w:rPr>
                <w:sz w:val="22"/>
                <w:szCs w:val="22"/>
              </w:rPr>
              <w:t>UG</w:t>
            </w:r>
            <w:r w:rsidR="00147D8C" w:rsidRPr="000C63C2">
              <w:rPr>
                <w:sz w:val="22"/>
                <w:szCs w:val="22"/>
              </w:rPr>
              <w:t>;</w:t>
            </w:r>
            <w:r w:rsidR="00E72664" w:rsidRPr="000C63C2">
              <w:rPr>
                <w:sz w:val="22"/>
                <w:szCs w:val="22"/>
              </w:rPr>
              <w:t xml:space="preserve"> dr Grzegorz Olszewski</w:t>
            </w:r>
            <w:r w:rsidR="000C63C2" w:rsidRPr="000C63C2">
              <w:rPr>
                <w:sz w:val="22"/>
                <w:szCs w:val="22"/>
              </w:rPr>
              <w:t>;</w:t>
            </w:r>
            <w:r w:rsidR="00E72664" w:rsidRPr="000C63C2">
              <w:rPr>
                <w:sz w:val="22"/>
                <w:szCs w:val="22"/>
              </w:rPr>
              <w:t xml:space="preserve"> mgr Aleksandra Moniakowska</w:t>
            </w:r>
          </w:p>
        </w:tc>
      </w:tr>
      <w:tr w:rsidR="00171F69" w:rsidRPr="00F73D29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C63C2" w:rsidRPr="000C63C2">
              <w:rPr>
                <w:b/>
                <w:sz w:val="22"/>
                <w:szCs w:val="22"/>
                <w:lang w:val="en-US"/>
              </w:rPr>
              <w:t>4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 30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student’s own work 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0 h -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64605C">
            <w:pPr>
              <w:ind w:firstLine="69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0C63C2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30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B85" w:rsidRPr="00BC709B" w:rsidRDefault="00320B85" w:rsidP="00320B85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320B85" w:rsidP="00320B85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F73D29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F73D29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3A0915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F73D29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F73D29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F73D29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F73D29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D47121" w:rsidRDefault="00147D8C" w:rsidP="007A23E5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Acquaint the students with radiochem</w:t>
            </w:r>
            <w:r w:rsidR="007C1DA6">
              <w:rPr>
                <w:sz w:val="22"/>
                <w:szCs w:val="22"/>
                <w:lang w:val="en-GB"/>
              </w:rPr>
              <w:t>istry and radiation protection</w:t>
            </w:r>
          </w:p>
          <w:p w:rsidR="00320B85" w:rsidRDefault="00320B85" w:rsidP="007A23E5">
            <w:pPr>
              <w:rPr>
                <w:sz w:val="22"/>
                <w:szCs w:val="22"/>
                <w:lang w:val="en-GB"/>
              </w:rPr>
            </w:pPr>
          </w:p>
          <w:p w:rsidR="00320B85" w:rsidRPr="000C63C2" w:rsidRDefault="00320B85" w:rsidP="007A23E5">
            <w:pPr>
              <w:rPr>
                <w:sz w:val="22"/>
                <w:szCs w:val="22"/>
                <w:lang w:val="en-GB"/>
              </w:rPr>
            </w:pPr>
            <w:r w:rsidRPr="00C5106D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Pr="00C5106D">
              <w:rPr>
                <w:sz w:val="22"/>
                <w:szCs w:val="22"/>
                <w:lang w:val="en-US"/>
              </w:rPr>
              <w:t>physical chemistry, analytical chemistry, environmental sciences</w:t>
            </w:r>
          </w:p>
        </w:tc>
      </w:tr>
      <w:tr w:rsidR="00171F69" w:rsidRPr="00F73D29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C5106D" w:rsidRDefault="00C5106D" w:rsidP="00C5106D">
            <w:pPr>
              <w:rPr>
                <w:sz w:val="22"/>
                <w:szCs w:val="22"/>
                <w:lang w:val="en-US"/>
              </w:rPr>
            </w:pPr>
            <w:r w:rsidRPr="00C5106D">
              <w:rPr>
                <w:sz w:val="22"/>
                <w:szCs w:val="22"/>
                <w:lang w:val="en-US"/>
              </w:rPr>
              <w:t>Radioactive elements in nature. Ionizing radiation doses. Radiotoxicity and its groups. Sources of radioactive contamination in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5106D">
              <w:rPr>
                <w:sz w:val="22"/>
                <w:szCs w:val="22"/>
                <w:lang w:val="en-US"/>
              </w:rPr>
              <w:t>natural environment. Human absorption of radionuclides from air, food and water, and assessment of radiation doses. Radiological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5106D">
              <w:rPr>
                <w:sz w:val="22"/>
                <w:szCs w:val="22"/>
                <w:lang w:val="en-US"/>
              </w:rPr>
              <w:t xml:space="preserve">effects of smoking cigarettes. </w:t>
            </w:r>
          </w:p>
          <w:p w:rsidR="00001C8A" w:rsidRPr="000C63C2" w:rsidRDefault="00147D8C" w:rsidP="00C5106D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Laboratory experiments</w:t>
            </w:r>
            <w:r w:rsidR="00C5106D">
              <w:rPr>
                <w:sz w:val="22"/>
                <w:szCs w:val="22"/>
                <w:lang w:val="en-US"/>
              </w:rPr>
              <w:t xml:space="preserve"> - </w:t>
            </w:r>
            <w:r w:rsidR="00953F5A" w:rsidRPr="000C63C2">
              <w:rPr>
                <w:sz w:val="22"/>
                <w:szCs w:val="22"/>
                <w:vertAlign w:val="superscript"/>
                <w:lang w:val="en-US"/>
              </w:rPr>
              <w:t>210</w:t>
            </w:r>
            <w:r w:rsidR="00953F5A" w:rsidRPr="000C63C2">
              <w:rPr>
                <w:sz w:val="22"/>
                <w:szCs w:val="22"/>
                <w:lang w:val="en-US"/>
              </w:rPr>
              <w:t xml:space="preserve">Po, </w:t>
            </w:r>
            <w:r w:rsidR="00953F5A" w:rsidRPr="000C63C2">
              <w:rPr>
                <w:sz w:val="22"/>
                <w:szCs w:val="22"/>
                <w:vertAlign w:val="superscript"/>
                <w:lang w:val="en-US"/>
              </w:rPr>
              <w:t>234</w:t>
            </w:r>
            <w:r w:rsidR="00953F5A" w:rsidRPr="000C63C2">
              <w:rPr>
                <w:sz w:val="22"/>
                <w:szCs w:val="22"/>
                <w:lang w:val="en-US"/>
              </w:rPr>
              <w:t xml:space="preserve">U, </w:t>
            </w:r>
            <w:r w:rsidR="00953F5A" w:rsidRPr="000C63C2">
              <w:rPr>
                <w:sz w:val="22"/>
                <w:szCs w:val="22"/>
                <w:vertAlign w:val="superscript"/>
                <w:lang w:val="en-US"/>
              </w:rPr>
              <w:t>238</w:t>
            </w:r>
            <w:r w:rsidR="00953F5A" w:rsidRPr="000C63C2">
              <w:rPr>
                <w:sz w:val="22"/>
                <w:szCs w:val="22"/>
                <w:lang w:val="en-US"/>
              </w:rPr>
              <w:t xml:space="preserve">U </w:t>
            </w:r>
            <w:r w:rsidRPr="000C63C2">
              <w:rPr>
                <w:sz w:val="22"/>
                <w:szCs w:val="22"/>
                <w:lang w:val="en-US"/>
              </w:rPr>
              <w:t xml:space="preserve">and </w:t>
            </w:r>
            <w:r w:rsidR="00953F5A" w:rsidRPr="000C63C2">
              <w:rPr>
                <w:sz w:val="22"/>
                <w:szCs w:val="22"/>
                <w:vertAlign w:val="superscript"/>
                <w:lang w:val="en-US"/>
              </w:rPr>
              <w:t>239+240</w:t>
            </w:r>
            <w:r w:rsidR="00953F5A" w:rsidRPr="000C63C2">
              <w:rPr>
                <w:sz w:val="22"/>
                <w:szCs w:val="22"/>
                <w:lang w:val="en-US"/>
              </w:rPr>
              <w:t xml:space="preserve">Pu </w:t>
            </w:r>
            <w:r w:rsidRPr="000C63C2">
              <w:rPr>
                <w:sz w:val="22"/>
                <w:szCs w:val="22"/>
                <w:lang w:val="en-US"/>
              </w:rPr>
              <w:t xml:space="preserve">activities determination </w:t>
            </w:r>
            <w:r w:rsidR="000C63C2">
              <w:rPr>
                <w:sz w:val="22"/>
                <w:szCs w:val="22"/>
                <w:lang w:val="en-US"/>
              </w:rPr>
              <w:t>in food samples</w:t>
            </w:r>
          </w:p>
        </w:tc>
      </w:tr>
      <w:tr w:rsidR="00171F69" w:rsidRPr="00F73D29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DF357C" w:rsidRPr="00F73D29" w:rsidRDefault="00DF357C" w:rsidP="00F73D29">
            <w:pPr>
              <w:rPr>
                <w:sz w:val="22"/>
                <w:szCs w:val="22"/>
                <w:lang w:val="en-US"/>
              </w:rPr>
            </w:pPr>
            <w:proofErr w:type="spellStart"/>
            <w:r w:rsidRPr="00F73D29">
              <w:rPr>
                <w:sz w:val="22"/>
                <w:szCs w:val="22"/>
                <w:lang w:val="en-US"/>
              </w:rPr>
              <w:t>Frontasyeva</w:t>
            </w:r>
            <w:proofErr w:type="spellEnd"/>
            <w:r w:rsidRPr="00F73D29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F73D29">
              <w:rPr>
                <w:sz w:val="22"/>
                <w:szCs w:val="22"/>
                <w:lang w:val="en-US"/>
              </w:rPr>
              <w:t>Perelygin</w:t>
            </w:r>
            <w:proofErr w:type="spellEnd"/>
            <w:r w:rsidRPr="00F73D29">
              <w:rPr>
                <w:sz w:val="22"/>
                <w:szCs w:val="22"/>
                <w:lang w:val="en-US"/>
              </w:rPr>
              <w:t xml:space="preserve"> V., </w:t>
            </w:r>
            <w:proofErr w:type="spellStart"/>
            <w:r w:rsidRPr="00F73D29">
              <w:rPr>
                <w:sz w:val="22"/>
                <w:szCs w:val="22"/>
                <w:lang w:val="en-US"/>
              </w:rPr>
              <w:t>Vater</w:t>
            </w:r>
            <w:proofErr w:type="spellEnd"/>
            <w:r w:rsidRPr="00F73D29">
              <w:rPr>
                <w:sz w:val="22"/>
                <w:szCs w:val="22"/>
                <w:lang w:val="en-US"/>
              </w:rPr>
              <w:t xml:space="preserve"> P., Radionuclides and Heavy Metals in Environment, Springer, 2001</w:t>
            </w:r>
          </w:p>
          <w:p w:rsidR="00DF357C" w:rsidRPr="00F73D29" w:rsidRDefault="00DF357C" w:rsidP="00F73D29">
            <w:pPr>
              <w:rPr>
                <w:sz w:val="22"/>
                <w:szCs w:val="22"/>
                <w:lang w:val="en-US"/>
              </w:rPr>
            </w:pPr>
            <w:proofErr w:type="spellStart"/>
            <w:r w:rsidRPr="00F73D29">
              <w:rPr>
                <w:sz w:val="22"/>
                <w:szCs w:val="22"/>
                <w:lang w:val="en-US"/>
              </w:rPr>
              <w:t>Stabin</w:t>
            </w:r>
            <w:proofErr w:type="spellEnd"/>
            <w:r w:rsidRPr="00F73D29">
              <w:rPr>
                <w:sz w:val="22"/>
                <w:szCs w:val="22"/>
                <w:lang w:val="en-US"/>
              </w:rPr>
              <w:t xml:space="preserve"> M., Radiation Protection and Dosimetry, Springer, 2007.</w:t>
            </w:r>
          </w:p>
          <w:p w:rsidR="000C63C2" w:rsidRPr="00F73D29" w:rsidRDefault="000C63C2" w:rsidP="00F73D29">
            <w:pPr>
              <w:rPr>
                <w:sz w:val="22"/>
                <w:szCs w:val="22"/>
                <w:lang w:val="en-US"/>
              </w:rPr>
            </w:pPr>
            <w:r w:rsidRPr="00F73D29">
              <w:rPr>
                <w:sz w:val="22"/>
                <w:szCs w:val="22"/>
                <w:lang w:val="en-US"/>
              </w:rPr>
              <w:t xml:space="preserve">Skwarzec B., Determination of radionuclides in aquatic environment, Analytical measurements in aquatic environments, CRC Press, </w:t>
            </w:r>
            <w:proofErr w:type="spellStart"/>
            <w:r w:rsidRPr="00F73D29">
              <w:rPr>
                <w:sz w:val="22"/>
                <w:szCs w:val="22"/>
                <w:lang w:val="en-US"/>
              </w:rPr>
              <w:t>Taylor&amp;Francis</w:t>
            </w:r>
            <w:proofErr w:type="spellEnd"/>
            <w:r w:rsidRPr="00F73D29">
              <w:rPr>
                <w:sz w:val="22"/>
                <w:szCs w:val="22"/>
                <w:lang w:val="en-US"/>
              </w:rPr>
              <w:t xml:space="preserve"> Group, 2010,</w:t>
            </w:r>
          </w:p>
        </w:tc>
      </w:tr>
      <w:tr w:rsidR="00171F69" w:rsidRPr="00F73D29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Knowledge</w:t>
            </w:r>
          </w:p>
          <w:p w:rsidR="004C0CF8" w:rsidRPr="000C63C2" w:rsidRDefault="004C0CF8" w:rsidP="004C0CF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1. has knowledge about the influence of ionizing radiation on living organisms,</w:t>
            </w:r>
          </w:p>
          <w:p w:rsidR="004C0CF8" w:rsidRPr="000C63C2" w:rsidRDefault="00997D7C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C0CF8" w:rsidRPr="000C63C2">
              <w:rPr>
                <w:sz w:val="22"/>
                <w:szCs w:val="22"/>
                <w:lang w:val="en-US"/>
              </w:rPr>
              <w:t>. knows the natural and artificial radioactive elements in the environment and sources of their origin,</w:t>
            </w:r>
          </w:p>
          <w:p w:rsidR="004C0CF8" w:rsidRPr="000C63C2" w:rsidRDefault="00997D7C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4C0CF8" w:rsidRPr="000C63C2">
              <w:rPr>
                <w:sz w:val="22"/>
                <w:szCs w:val="22"/>
                <w:lang w:val="en-US"/>
              </w:rPr>
              <w:t>. understands the concept of radiotoxicity and knows its groups,</w:t>
            </w:r>
          </w:p>
          <w:p w:rsidR="004C0CF8" w:rsidRPr="000C63C2" w:rsidRDefault="00997D7C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C0CF8" w:rsidRPr="000C63C2">
              <w:rPr>
                <w:sz w:val="22"/>
                <w:szCs w:val="22"/>
                <w:lang w:val="en-US"/>
              </w:rPr>
              <w:t>. has knowledge about the origin of radionuclides in the human body,</w:t>
            </w:r>
          </w:p>
          <w:p w:rsidR="00070A9B" w:rsidRPr="00997D7C" w:rsidRDefault="00997D7C" w:rsidP="00997D7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4C0CF8" w:rsidRPr="000C63C2">
              <w:rPr>
                <w:sz w:val="22"/>
                <w:szCs w:val="22"/>
                <w:lang w:val="en-US"/>
              </w:rPr>
              <w:t>. understands the radiological effects of the collection of radionuclides by humans as a result of breathing, eating and smoking,</w:t>
            </w:r>
          </w:p>
        </w:tc>
      </w:tr>
      <w:tr w:rsidR="00171F69" w:rsidRPr="00F73D29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understands the basic concepts of radiochemistry and </w:t>
            </w:r>
            <w:proofErr w:type="spellStart"/>
            <w:r w:rsidRPr="000C63C2">
              <w:rPr>
                <w:sz w:val="22"/>
                <w:szCs w:val="22"/>
                <w:lang w:val="en-US"/>
              </w:rPr>
              <w:t>radiotoxicology</w:t>
            </w:r>
            <w:proofErr w:type="spellEnd"/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2. recognizes the most important natural and artificial radionuclides contained in man,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3. can assess the radiological consequences of human absorption of radionuclides from the air, water and food and as a result of smoking,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4. is able to assess the </w:t>
            </w:r>
            <w:r w:rsidR="005817E6">
              <w:rPr>
                <w:sz w:val="22"/>
                <w:szCs w:val="22"/>
                <w:lang w:val="en-US"/>
              </w:rPr>
              <w:t xml:space="preserve">radiation doses </w:t>
            </w:r>
            <w:r w:rsidRPr="000C63C2">
              <w:rPr>
                <w:sz w:val="22"/>
                <w:szCs w:val="22"/>
                <w:lang w:val="en-US"/>
              </w:rPr>
              <w:t xml:space="preserve">coming from </w:t>
            </w:r>
            <w:r w:rsidR="005817E6">
              <w:rPr>
                <w:sz w:val="22"/>
                <w:szCs w:val="22"/>
                <w:lang w:val="en-US"/>
              </w:rPr>
              <w:t>ingested radionuclides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070A9B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5. is able to assess radiological threats arising as a result of local or global contamination of radioactivity.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1F69" w:rsidRPr="00F73D29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1. understands the need for further education in the field of monitoring of radiochemical contamination of the environment,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2. demonstrates creativity in limiting the absorption of radionuclides by humans and makes the society aware of the effects of excessive incorporation of radionuclides,</w:t>
            </w:r>
          </w:p>
          <w:p w:rsidR="00070A9B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3. can transfer knowledge in the society about sources of radiochemical contamination in building materials,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8A" w:rsidRDefault="00E0698A" w:rsidP="00941E09">
      <w:r>
        <w:separator/>
      </w:r>
    </w:p>
  </w:endnote>
  <w:endnote w:type="continuationSeparator" w:id="0">
    <w:p w:rsidR="00E0698A" w:rsidRDefault="00E0698A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AA3ACA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8A" w:rsidRDefault="00E0698A" w:rsidP="00941E09">
      <w:r>
        <w:separator/>
      </w:r>
    </w:p>
  </w:footnote>
  <w:footnote w:type="continuationSeparator" w:id="0">
    <w:p w:rsidR="00E0698A" w:rsidRDefault="00E0698A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QQR5hZmZqaGSjpKwanFxZn5eSAFRrUAiiIkIC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0B85"/>
    <w:rsid w:val="00321495"/>
    <w:rsid w:val="00322FF3"/>
    <w:rsid w:val="00323842"/>
    <w:rsid w:val="00345929"/>
    <w:rsid w:val="0037138B"/>
    <w:rsid w:val="00373E52"/>
    <w:rsid w:val="00393900"/>
    <w:rsid w:val="003968EC"/>
    <w:rsid w:val="00397563"/>
    <w:rsid w:val="003A0915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27C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071D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3ACA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0698A"/>
    <w:rsid w:val="00E16BE6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73D29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6F12-73E3-42CA-A0A5-09C83214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30</cp:revision>
  <cp:lastPrinted>2019-06-03T08:53:00Z</cp:lastPrinted>
  <dcterms:created xsi:type="dcterms:W3CDTF">2019-06-06T08:22:00Z</dcterms:created>
  <dcterms:modified xsi:type="dcterms:W3CDTF">2022-03-04T07:53:00Z</dcterms:modified>
</cp:coreProperties>
</file>