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C851F" w14:textId="47FAF629" w:rsidR="003C0ABF" w:rsidRPr="004919BB" w:rsidRDefault="000E2CA9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4919BB">
        <w:rPr>
          <w:rFonts w:ascii="Calibri" w:hAnsi="Calibri" w:cs="Calibri"/>
          <w:b/>
          <w:i/>
          <w:sz w:val="22"/>
          <w:szCs w:val="22"/>
          <w:lang w:val="pl-PL"/>
        </w:rPr>
        <w:t>D</w:t>
      </w:r>
      <w:r w:rsidR="005A0B48" w:rsidRPr="004919BB">
        <w:rPr>
          <w:rFonts w:ascii="Calibri" w:hAnsi="Calibri" w:cs="Calibri"/>
          <w:b/>
          <w:i/>
          <w:sz w:val="22"/>
          <w:szCs w:val="22"/>
          <w:lang w:val="pl-PL"/>
        </w:rPr>
        <w:t xml:space="preserve">r Agnieszka </w:t>
      </w:r>
      <w:proofErr w:type="spellStart"/>
      <w:r w:rsidR="005A0B48" w:rsidRPr="004919BB">
        <w:rPr>
          <w:rFonts w:ascii="Calibri" w:hAnsi="Calibri" w:cs="Calibri"/>
          <w:b/>
          <w:i/>
          <w:sz w:val="22"/>
          <w:szCs w:val="22"/>
          <w:lang w:val="pl-PL"/>
        </w:rPr>
        <w:t>Gajewicz</w:t>
      </w:r>
      <w:proofErr w:type="spellEnd"/>
      <w:r w:rsidR="005E1684" w:rsidRPr="004919BB">
        <w:rPr>
          <w:rFonts w:ascii="Calibri" w:hAnsi="Calibri" w:cs="Calibri"/>
          <w:b/>
          <w:i/>
          <w:sz w:val="22"/>
          <w:szCs w:val="22"/>
          <w:lang w:val="pl-PL"/>
        </w:rPr>
        <w:t xml:space="preserve">, stypendystka 17. edycji programu L’Oréal-UNESCO Dla Kobiet i Nauki, </w:t>
      </w:r>
      <w:r w:rsidR="005E1684" w:rsidRPr="004919BB">
        <w:rPr>
          <w:rFonts w:ascii="Calibri" w:hAnsi="Calibri" w:cs="Calibri"/>
          <w:b/>
          <w:i/>
          <w:sz w:val="22"/>
          <w:szCs w:val="22"/>
          <w:lang w:val="pl-PL"/>
        </w:rPr>
        <w:br/>
        <w:t xml:space="preserve">Kategoria </w:t>
      </w:r>
      <w:proofErr w:type="spellStart"/>
      <w:r w:rsidR="005E1684" w:rsidRPr="004919BB">
        <w:rPr>
          <w:rFonts w:ascii="Calibri" w:hAnsi="Calibri" w:cs="Calibri"/>
          <w:b/>
          <w:i/>
          <w:sz w:val="22"/>
          <w:szCs w:val="22"/>
          <w:lang w:val="pl-PL"/>
        </w:rPr>
        <w:t>habilitancka</w:t>
      </w:r>
      <w:proofErr w:type="spellEnd"/>
    </w:p>
    <w:p w14:paraId="76BE6D6D" w14:textId="77777777" w:rsidR="00185D99" w:rsidRPr="004919BB" w:rsidRDefault="00185D99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35A49EF9" w14:textId="227C13A9" w:rsidR="00185D99" w:rsidRPr="004919BB" w:rsidRDefault="00185D99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4919BB">
        <w:rPr>
          <w:rFonts w:ascii="Calibri" w:hAnsi="Calibri" w:cs="Calibri"/>
          <w:b/>
          <w:i/>
          <w:sz w:val="22"/>
          <w:szCs w:val="22"/>
          <w:lang w:val="pl-PL"/>
        </w:rPr>
        <w:t xml:space="preserve">OPIS PROJEKTU </w:t>
      </w:r>
      <w:r w:rsidR="004919BB">
        <w:rPr>
          <w:rFonts w:ascii="Calibri" w:hAnsi="Calibri" w:cs="Calibri"/>
          <w:b/>
          <w:i/>
          <w:sz w:val="22"/>
          <w:szCs w:val="22"/>
          <w:lang w:val="pl-PL"/>
        </w:rPr>
        <w:t>NAUKOWEGO</w:t>
      </w:r>
    </w:p>
    <w:p w14:paraId="356F6617" w14:textId="349B3728" w:rsidR="00A43A92" w:rsidRPr="004919BB" w:rsidRDefault="00185D99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>Temat projektu naukowego</w:t>
      </w:r>
      <w:r w:rsidR="00A43A92" w:rsidRPr="004919BB">
        <w:rPr>
          <w:rFonts w:ascii="Calibri" w:hAnsi="Calibri" w:cs="Arial"/>
          <w:b/>
          <w:sz w:val="22"/>
          <w:szCs w:val="22"/>
          <w:lang w:val="pl-PL"/>
        </w:rPr>
        <w:t>:</w:t>
      </w:r>
      <w:r w:rsidR="00A43A92" w:rsidRPr="004919BB">
        <w:rPr>
          <w:rFonts w:ascii="Calibri" w:hAnsi="Calibri" w:cs="Arial"/>
          <w:sz w:val="22"/>
          <w:szCs w:val="22"/>
          <w:lang w:val="pl-PL"/>
        </w:rPr>
        <w:t xml:space="preserve"> Opracowanie metod szacowania przekrojowego (</w:t>
      </w:r>
      <w:proofErr w:type="spellStart"/>
      <w:r w:rsidR="00A43A92"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="00A43A92" w:rsidRPr="004919BB">
        <w:rPr>
          <w:rFonts w:ascii="Calibri" w:hAnsi="Calibri" w:cs="Arial"/>
          <w:sz w:val="22"/>
          <w:szCs w:val="22"/>
          <w:lang w:val="pl-PL"/>
        </w:rPr>
        <w:t>) wspierających proces oceny ryzyka chemicznego stwarzanego przez nanomateriały.</w:t>
      </w:r>
    </w:p>
    <w:p w14:paraId="0DAC5B06" w14:textId="70069AE6" w:rsidR="00A43A92" w:rsidRPr="004919BB" w:rsidRDefault="00A43A92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 xml:space="preserve">Obszar badań: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Substancje chemiczne (zarówno te istniejące jak i nowo syntetyzowane) mają ogromny wpływ na jakość codziennego życia oferując coraz to lepsze produkty oraz bardziej wydajne procesy technologiczne. </w:t>
      </w:r>
      <w:r w:rsidR="0066571F">
        <w:rPr>
          <w:rFonts w:ascii="Calibri" w:hAnsi="Calibri" w:cs="Arial"/>
          <w:sz w:val="22"/>
          <w:szCs w:val="22"/>
          <w:lang w:val="pl-PL"/>
        </w:rPr>
        <w:t>T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e same substancje chemiczne mogą </w:t>
      </w:r>
      <w:r w:rsidR="00F149DF">
        <w:rPr>
          <w:rFonts w:ascii="Calibri" w:hAnsi="Calibri" w:cs="Arial"/>
          <w:sz w:val="22"/>
          <w:szCs w:val="22"/>
          <w:lang w:val="pl-PL"/>
        </w:rPr>
        <w:t xml:space="preserve">jednak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stanowić poważne zagrożenie dla zdrowia człowieka i zwierząt </w:t>
      </w:r>
      <w:r w:rsidR="00F149DF">
        <w:rPr>
          <w:rFonts w:ascii="Calibri" w:hAnsi="Calibri" w:cs="Arial"/>
          <w:sz w:val="22"/>
          <w:szCs w:val="22"/>
          <w:lang w:val="pl-PL"/>
        </w:rPr>
        <w:t>oraz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wykazywać negatywny wpływ na środowisko przyrodnicze. Dlatego tak </w:t>
      </w:r>
      <w:r w:rsidR="00D335DD" w:rsidRPr="004919BB">
        <w:rPr>
          <w:rFonts w:ascii="Calibri" w:hAnsi="Calibri" w:cs="Arial"/>
          <w:sz w:val="22"/>
          <w:szCs w:val="22"/>
          <w:lang w:val="pl-PL"/>
        </w:rPr>
        <w:t>ważn</w:t>
      </w:r>
      <w:r w:rsidR="00D335DD">
        <w:rPr>
          <w:rFonts w:ascii="Calibri" w:hAnsi="Calibri" w:cs="Arial"/>
          <w:sz w:val="22"/>
          <w:szCs w:val="22"/>
          <w:lang w:val="pl-PL"/>
        </w:rPr>
        <w:t>a</w:t>
      </w:r>
      <w:r w:rsidR="00D335DD"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jest </w:t>
      </w:r>
      <w:r w:rsidR="00D335DD">
        <w:rPr>
          <w:rFonts w:ascii="Calibri" w:hAnsi="Calibri" w:cs="Arial"/>
          <w:sz w:val="22"/>
          <w:szCs w:val="22"/>
          <w:lang w:val="pl-PL"/>
        </w:rPr>
        <w:t>ocena potencjalnego ryzyka</w:t>
      </w:r>
      <w:r w:rsidR="0066571F">
        <w:rPr>
          <w:rFonts w:ascii="Calibri" w:hAnsi="Calibri" w:cs="Arial"/>
          <w:sz w:val="22"/>
          <w:szCs w:val="22"/>
          <w:lang w:val="pl-PL"/>
        </w:rPr>
        <w:t>,</w:t>
      </w:r>
      <w:r w:rsidR="00D335DD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jakie mogą stwarzać związki chemiczne w całym cyklu swojego życia </w:t>
      </w:r>
      <w:r w:rsidR="00D335DD">
        <w:rPr>
          <w:rFonts w:ascii="Calibri" w:hAnsi="Calibri" w:cs="Arial"/>
          <w:sz w:val="22"/>
          <w:szCs w:val="22"/>
          <w:lang w:val="pl-PL"/>
        </w:rPr>
        <w:t>oraz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zarządzan</w:t>
      </w:r>
      <w:r w:rsidR="00D335DD">
        <w:rPr>
          <w:rFonts w:ascii="Calibri" w:hAnsi="Calibri" w:cs="Arial"/>
          <w:sz w:val="22"/>
          <w:szCs w:val="22"/>
          <w:lang w:val="pl-PL"/>
        </w:rPr>
        <w:t>i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e </w:t>
      </w:r>
      <w:r w:rsidR="000C2623">
        <w:rPr>
          <w:rFonts w:ascii="Calibri" w:hAnsi="Calibri" w:cs="Arial"/>
          <w:sz w:val="22"/>
          <w:szCs w:val="22"/>
          <w:lang w:val="pl-PL"/>
        </w:rPr>
        <w:t xml:space="preserve">tym </w:t>
      </w:r>
      <w:r w:rsidR="00D335DD">
        <w:rPr>
          <w:rFonts w:ascii="Calibri" w:hAnsi="Calibri" w:cs="Arial"/>
          <w:sz w:val="22"/>
          <w:szCs w:val="22"/>
          <w:lang w:val="pl-PL"/>
        </w:rPr>
        <w:t xml:space="preserve">ryzykiem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w celu zminimalizowania negatywnych skutków </w:t>
      </w:r>
      <w:r w:rsidR="00236755">
        <w:rPr>
          <w:rFonts w:ascii="Calibri" w:hAnsi="Calibri" w:cs="Arial"/>
          <w:sz w:val="22"/>
          <w:szCs w:val="22"/>
          <w:lang w:val="pl-PL"/>
        </w:rPr>
        <w:br/>
      </w:r>
      <w:bookmarkStart w:id="0" w:name="_GoBack"/>
      <w:bookmarkEnd w:id="0"/>
      <w:r w:rsidRPr="004919BB">
        <w:rPr>
          <w:rFonts w:ascii="Calibri" w:hAnsi="Calibri" w:cs="Arial"/>
          <w:sz w:val="22"/>
          <w:szCs w:val="22"/>
          <w:lang w:val="pl-PL"/>
        </w:rPr>
        <w:t xml:space="preserve">w przyszłości. Często jest to utrudnione ze względu na wysokie koszty badań, niezwykle czasochłonne </w:t>
      </w:r>
      <w:r w:rsidR="0066571F">
        <w:rPr>
          <w:rFonts w:ascii="Calibri" w:hAnsi="Calibri" w:cs="Arial"/>
          <w:sz w:val="22"/>
          <w:szCs w:val="22"/>
          <w:lang w:val="pl-PL"/>
        </w:rPr>
        <w:br/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i skomplikowane procedury eksperymentalne, a także wątpliwości natury etycznej związane </w:t>
      </w:r>
      <w:r w:rsidR="0066571F">
        <w:rPr>
          <w:rFonts w:ascii="Calibri" w:hAnsi="Calibri" w:cs="Arial"/>
          <w:sz w:val="22"/>
          <w:szCs w:val="22"/>
          <w:lang w:val="pl-PL"/>
        </w:rPr>
        <w:br/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z </w:t>
      </w:r>
      <w:r w:rsidR="000C2623">
        <w:rPr>
          <w:rFonts w:ascii="Calibri" w:hAnsi="Calibri" w:cs="Arial"/>
          <w:sz w:val="22"/>
          <w:szCs w:val="22"/>
          <w:lang w:val="pl-PL"/>
        </w:rPr>
        <w:t>prowadzeniem</w:t>
      </w:r>
      <w:r w:rsidR="000C2623"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sz w:val="22"/>
          <w:szCs w:val="22"/>
          <w:lang w:val="pl-PL"/>
        </w:rPr>
        <w:t>badań doświadczalnych na zwierzętach laboratoryjnych.</w:t>
      </w:r>
      <w:r w:rsidRPr="004919BB"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="000C2623" w:rsidRPr="000C2623">
        <w:rPr>
          <w:rFonts w:ascii="Calibri" w:hAnsi="Calibri" w:cs="Arial"/>
          <w:sz w:val="22"/>
          <w:szCs w:val="22"/>
          <w:lang w:val="pl-PL"/>
        </w:rPr>
        <w:t>Istotne staje się więc wykorzystanie</w:t>
      </w:r>
      <w:r w:rsidR="000C2623">
        <w:rPr>
          <w:rFonts w:ascii="Calibri" w:hAnsi="Calibri" w:cs="Arial"/>
          <w:sz w:val="22"/>
          <w:szCs w:val="22"/>
          <w:lang w:val="pl-PL"/>
        </w:rPr>
        <w:t xml:space="preserve"> w tym celu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metod komputerowych (tzw. metod </w:t>
      </w:r>
      <w:r w:rsidRPr="004919BB">
        <w:rPr>
          <w:rFonts w:ascii="Calibri" w:hAnsi="Calibri" w:cs="Arial"/>
          <w:i/>
          <w:sz w:val="22"/>
          <w:szCs w:val="22"/>
          <w:lang w:val="pl-PL"/>
        </w:rPr>
        <w:t xml:space="preserve">in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silico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). </w:t>
      </w:r>
    </w:p>
    <w:p w14:paraId="282CA06A" w14:textId="77777777" w:rsidR="00A43A92" w:rsidRPr="004919BB" w:rsidRDefault="00A43A92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>Cel badań: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iCs/>
          <w:kern w:val="1"/>
          <w:sz w:val="22"/>
          <w:szCs w:val="22"/>
          <w:lang w:val="pl-PL"/>
        </w:rPr>
        <w:t xml:space="preserve">Opracowanie </w:t>
      </w:r>
      <w:r w:rsidRPr="004919BB">
        <w:rPr>
          <w:rFonts w:ascii="Calibri" w:hAnsi="Calibri" w:cs="Arial"/>
          <w:bCs/>
          <w:sz w:val="22"/>
          <w:szCs w:val="22"/>
          <w:lang w:val="pl-PL"/>
        </w:rPr>
        <w:t>-</w:t>
      </w:r>
      <w:r w:rsidRPr="004919BB">
        <w:rPr>
          <w:rFonts w:ascii="Calibri" w:hAnsi="Calibri" w:cs="Arial"/>
          <w:iCs/>
          <w:kern w:val="1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bCs/>
          <w:sz w:val="22"/>
          <w:szCs w:val="22"/>
          <w:lang w:val="pl-PL"/>
        </w:rPr>
        <w:t>przy wykorzystaniu metod z zakresu chemii teoretycznej, chemometrii, statystyki oraz matematyki -</w:t>
      </w:r>
      <w:r w:rsidRPr="004919BB">
        <w:rPr>
          <w:rFonts w:ascii="Calibri" w:hAnsi="Calibri" w:cs="Arial"/>
          <w:iCs/>
          <w:kern w:val="1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nowych algorytmów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 służących komputerowej ocenie ryzyka stwarzanego przez związki chemiczne (ze szczególnym uwzględnieniem </w:t>
      </w:r>
      <w:proofErr w:type="spellStart"/>
      <w:r w:rsidRPr="004919BB">
        <w:rPr>
          <w:rFonts w:ascii="Calibri" w:hAnsi="Calibri" w:cs="Arial"/>
          <w:sz w:val="22"/>
          <w:szCs w:val="22"/>
          <w:lang w:val="pl-PL"/>
        </w:rPr>
        <w:t>nanocząstek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>).</w:t>
      </w:r>
    </w:p>
    <w:p w14:paraId="6F86A067" w14:textId="636EB3EC" w:rsidR="003F6FF4" w:rsidRPr="004919BB" w:rsidRDefault="00A43A92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>Opis badań: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U podstaw metod </w:t>
      </w:r>
      <w:r w:rsidRPr="004919BB">
        <w:rPr>
          <w:rFonts w:ascii="Calibri" w:hAnsi="Calibri" w:cs="Arial"/>
          <w:i/>
          <w:sz w:val="22"/>
          <w:szCs w:val="22"/>
          <w:lang w:val="pl-PL"/>
        </w:rPr>
        <w:t xml:space="preserve">in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silico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 leży założenie, 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że </w:t>
      </w:r>
      <w:r w:rsidRPr="004919BB">
        <w:rPr>
          <w:rFonts w:ascii="Calibri" w:hAnsi="Calibri" w:cs="Arial"/>
          <w:sz w:val="22"/>
          <w:szCs w:val="22"/>
          <w:lang w:val="pl-PL"/>
        </w:rPr>
        <w:t>związki o podobnej budowie chemicznej wykazują podobną aktywność biologiczną. Dlatego</w:t>
      </w:r>
      <w:r w:rsidRPr="004919BB">
        <w:rPr>
          <w:rFonts w:ascii="Calibri" w:eastAsia="EFNBureau" w:hAnsi="Calibri" w:cs="Arial"/>
          <w:sz w:val="22"/>
          <w:szCs w:val="22"/>
          <w:lang w:val="pl-PL"/>
        </w:rPr>
        <w:t xml:space="preserve"> na podstawie </w:t>
      </w:r>
      <w:r w:rsidRPr="004919BB">
        <w:rPr>
          <w:rFonts w:ascii="Calibri" w:hAnsi="Calibri" w:cs="Arial"/>
          <w:sz w:val="22"/>
          <w:szCs w:val="22"/>
          <w:lang w:val="pl-PL"/>
        </w:rPr>
        <w:t>strukturalnie p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odobnych związków </w:t>
      </w:r>
      <w:r w:rsidR="0066571F">
        <w:rPr>
          <w:rFonts w:ascii="Calibri" w:hAnsi="Calibri" w:cs="Arial"/>
          <w:sz w:val="22"/>
          <w:szCs w:val="22"/>
          <w:lang w:val="pl-PL"/>
        </w:rPr>
        <w:br/>
      </w:r>
      <w:r w:rsidR="00C440CC" w:rsidRPr="004919BB">
        <w:rPr>
          <w:rFonts w:ascii="Calibri" w:hAnsi="Calibri" w:cs="Arial"/>
          <w:sz w:val="22"/>
          <w:szCs w:val="22"/>
          <w:lang w:val="pl-PL"/>
        </w:rPr>
        <w:t>z danej grupy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istnieje możliwość przewidzenia modelowanej wartości (np. toksyczności) dla związków, dla których takich danych brakuje. Jest to możliwe w oparciu o zbiór deskryptorów struktury (tj. </w:t>
      </w:r>
      <w:r w:rsidRPr="004919BB">
        <w:rPr>
          <w:rFonts w:ascii="Calibri" w:eastAsia="EFNBureau" w:hAnsi="Calibri" w:cs="Arial"/>
          <w:sz w:val="22"/>
          <w:szCs w:val="22"/>
          <w:lang w:val="pl-PL"/>
        </w:rPr>
        <w:t xml:space="preserve">zmiennych kodujących informacje na temat budowy chemicznej)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obliczonych metodami chemii komputerowej oraz odpowiedniego modelu matematycznego. Wśród 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obecnie najważniejszych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metod komputerowych w zakresie oceny ryzyka wymienić należy: metody ilościowego modelowania zależności pomiędzy strukturą chemiczną a aktywnością biologiczną (QSAR) oraz metody szacowania przekrojowego (ang.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). Zastosowanie obu wymienionych powyżej grup metod wiąże się jednak 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>z wieloma problemami. Metod</w:t>
      </w:r>
      <w:r w:rsidR="00AC087F">
        <w:rPr>
          <w:rFonts w:ascii="Calibri" w:hAnsi="Calibri" w:cs="Arial"/>
          <w:sz w:val="22"/>
          <w:szCs w:val="22"/>
          <w:lang w:val="pl-PL"/>
        </w:rPr>
        <w:t>y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 QSAR wymaga</w:t>
      </w:r>
      <w:r w:rsidR="00AC087F">
        <w:rPr>
          <w:rFonts w:ascii="Calibri" w:hAnsi="Calibri" w:cs="Arial"/>
          <w:sz w:val="22"/>
          <w:szCs w:val="22"/>
          <w:lang w:val="pl-PL"/>
        </w:rPr>
        <w:t>ją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 dużego </w:t>
      </w:r>
      <w:r w:rsidR="000D4F95">
        <w:rPr>
          <w:rFonts w:ascii="Calibri" w:hAnsi="Calibri" w:cs="Arial"/>
          <w:sz w:val="22"/>
          <w:szCs w:val="22"/>
          <w:lang w:val="pl-PL"/>
        </w:rPr>
        <w:br/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i reprezentatywnego zbioru danych eksperymentalnych, który jednak nie zawsze jest jeszcze dostępny. </w:t>
      </w:r>
      <w:r w:rsidR="00B17A04" w:rsidRPr="004919BB">
        <w:rPr>
          <w:rFonts w:ascii="Calibri" w:hAnsi="Calibri" w:cs="Arial"/>
          <w:sz w:val="22"/>
          <w:szCs w:val="22"/>
          <w:lang w:val="pl-PL"/>
        </w:rPr>
        <w:t xml:space="preserve">Natomiast w przypadku metod </w:t>
      </w:r>
      <w:proofErr w:type="spellStart"/>
      <w:r w:rsidR="00B17A04"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="00B17A04" w:rsidRPr="004919BB">
        <w:rPr>
          <w:rFonts w:ascii="Calibri" w:hAnsi="Calibri" w:cs="Arial"/>
          <w:sz w:val="22"/>
          <w:szCs w:val="22"/>
          <w:lang w:val="pl-PL"/>
        </w:rPr>
        <w:t>ograniczenia wiążą się z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 np. </w:t>
      </w:r>
      <w:r w:rsidRPr="004919BB">
        <w:rPr>
          <w:rFonts w:ascii="Calibri" w:eastAsia="EFNBureau" w:hAnsi="Calibri" w:cs="Arial"/>
          <w:sz w:val="22"/>
          <w:szCs w:val="22"/>
          <w:lang w:val="pl-PL"/>
        </w:rPr>
        <w:t>brak</w:t>
      </w:r>
      <w:r w:rsidR="00B17A04" w:rsidRPr="004919BB">
        <w:rPr>
          <w:rFonts w:ascii="Calibri" w:eastAsia="EFNBureau" w:hAnsi="Calibri" w:cs="Arial"/>
          <w:sz w:val="22"/>
          <w:szCs w:val="22"/>
          <w:lang w:val="pl-PL"/>
        </w:rPr>
        <w:t>iem</w:t>
      </w:r>
      <w:r w:rsidRPr="004919BB">
        <w:rPr>
          <w:rFonts w:ascii="Calibri" w:eastAsia="EFNBureau" w:hAnsi="Calibri" w:cs="Arial"/>
          <w:sz w:val="22"/>
          <w:szCs w:val="22"/>
          <w:lang w:val="pl-PL"/>
        </w:rPr>
        <w:t xml:space="preserve"> przejrzystego algorytmu modelowan</w:t>
      </w:r>
      <w:r w:rsidR="00B17A04" w:rsidRPr="004919BB">
        <w:rPr>
          <w:rFonts w:ascii="Calibri" w:eastAsia="EFNBureau" w:hAnsi="Calibri" w:cs="Arial"/>
          <w:sz w:val="22"/>
          <w:szCs w:val="22"/>
          <w:lang w:val="pl-PL"/>
        </w:rPr>
        <w:t>ia</w:t>
      </w:r>
      <w:r w:rsidR="00E92435">
        <w:rPr>
          <w:rFonts w:ascii="Calibri" w:eastAsia="EFNBureau" w:hAnsi="Calibri" w:cs="Arial"/>
          <w:sz w:val="22"/>
          <w:szCs w:val="22"/>
          <w:lang w:val="pl-PL"/>
        </w:rPr>
        <w:t xml:space="preserve">.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Dlatego zanim metody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 znajdą pełne zastosowanie w procesie oceny ryzyka nowych oraz istniejących substancji chemicznych, konieczne jest uzupełnienie brakujących elementów wiedzy w samej metodyce prowadzonych badań.</w:t>
      </w:r>
      <w:r w:rsid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="00B17A04" w:rsidRPr="004919BB">
        <w:rPr>
          <w:rFonts w:ascii="Calibri" w:hAnsi="Calibri" w:cs="Arial"/>
          <w:sz w:val="22"/>
          <w:szCs w:val="22"/>
          <w:lang w:val="pl-PL"/>
        </w:rPr>
        <w:t>Opracowane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algorytmy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bCs/>
          <w:sz w:val="22"/>
          <w:szCs w:val="22"/>
          <w:lang w:val="pl-PL"/>
        </w:rPr>
        <w:t xml:space="preserve">będą dodatkowo wspierały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proces projektowania nowych, bezpiecznych dla zdrowia człowieka i środowiska naturalnego związków chemicznych (np. </w:t>
      </w:r>
      <w:proofErr w:type="spellStart"/>
      <w:r w:rsidRPr="004919BB">
        <w:rPr>
          <w:rFonts w:ascii="Calibri" w:hAnsi="Calibri" w:cs="Arial"/>
          <w:sz w:val="22"/>
          <w:szCs w:val="22"/>
          <w:lang w:val="pl-PL"/>
        </w:rPr>
        <w:t>nanocząstek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>) zgodnie z ideą "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safe</w:t>
      </w:r>
      <w:proofErr w:type="spellEnd"/>
      <w:r w:rsidRPr="004919BB">
        <w:rPr>
          <w:rFonts w:ascii="Calibri" w:hAnsi="Calibri" w:cs="Arial"/>
          <w:i/>
          <w:sz w:val="22"/>
          <w:szCs w:val="22"/>
          <w:lang w:val="pl-PL"/>
        </w:rPr>
        <w:t>-by-design</w:t>
      </w:r>
      <w:r w:rsidRPr="004919BB">
        <w:rPr>
          <w:rFonts w:ascii="Calibri" w:hAnsi="Calibri" w:cs="Arial"/>
          <w:sz w:val="22"/>
          <w:szCs w:val="22"/>
          <w:lang w:val="pl-PL"/>
        </w:rPr>
        <w:t>". Możliwe to będzie dzięki komputerowej ocenie potencjalnego ryzyka stwarzanego przez kombinatorycznie wygenerowane wirtualne związki</w:t>
      </w:r>
      <w:r w:rsidR="004919BB">
        <w:rPr>
          <w:rFonts w:ascii="Calibri" w:hAnsi="Calibri" w:cs="Arial"/>
          <w:sz w:val="22"/>
          <w:szCs w:val="22"/>
          <w:lang w:val="pl-PL"/>
        </w:rPr>
        <w:t xml:space="preserve">. </w:t>
      </w:r>
      <w:r w:rsidR="00B17A04" w:rsidRPr="004919BB">
        <w:rPr>
          <w:rFonts w:ascii="Calibri" w:hAnsi="Calibri" w:cs="Arial"/>
          <w:sz w:val="22"/>
          <w:szCs w:val="22"/>
          <w:lang w:val="pl-PL"/>
        </w:rPr>
        <w:t>Dzięki temu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ostatecznie zsyntezowane i eksperymentalnie przebadane zostaną wyłącznie najbardziej obiecujące związki (tj. związki wykazujące optymalną kombinację specyficznych właściwości </w:t>
      </w:r>
      <w:r w:rsidR="000D4F95">
        <w:rPr>
          <w:rFonts w:ascii="Calibri" w:hAnsi="Calibri" w:cs="Arial"/>
          <w:sz w:val="22"/>
          <w:szCs w:val="22"/>
          <w:lang w:val="pl-PL"/>
        </w:rPr>
        <w:br/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i funkcjonalności oraz bezpieczeństwa). </w:t>
      </w:r>
    </w:p>
    <w:sectPr w:rsidR="003F6FF4" w:rsidRPr="004919BB" w:rsidSect="003C0ABF">
      <w:headerReference w:type="default" r:id="rId7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00FF5" w14:textId="77777777" w:rsidR="003314DE" w:rsidRDefault="003314DE" w:rsidP="003314DE">
      <w:r>
        <w:separator/>
      </w:r>
    </w:p>
  </w:endnote>
  <w:endnote w:type="continuationSeparator" w:id="0">
    <w:p w14:paraId="6CF5EA4D" w14:textId="77777777" w:rsidR="003314DE" w:rsidRDefault="003314DE" w:rsidP="003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Bureau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F9E3" w14:textId="77777777" w:rsidR="003314DE" w:rsidRDefault="003314DE" w:rsidP="003314DE">
      <w:r>
        <w:separator/>
      </w:r>
    </w:p>
  </w:footnote>
  <w:footnote w:type="continuationSeparator" w:id="0">
    <w:p w14:paraId="3E784403" w14:textId="77777777" w:rsidR="003314DE" w:rsidRDefault="003314DE" w:rsidP="0033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ED23" w14:textId="28B7B3B6" w:rsidR="003314DE" w:rsidRDefault="003C0ABF" w:rsidP="003314DE">
    <w:pPr>
      <w:pStyle w:val="Nagwek"/>
      <w:jc w:val="center"/>
    </w:pPr>
    <w:r w:rsidRPr="003C0ABF">
      <w:rPr>
        <w:noProof/>
        <w:lang w:val="pl-PL"/>
      </w:rPr>
      <w:drawing>
        <wp:inline distT="0" distB="0" distL="0" distR="0" wp14:anchorId="20C1A979" wp14:editId="186DD088">
          <wp:extent cx="1654010" cy="1491843"/>
          <wp:effectExtent l="0" t="0" r="3810" b="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5849" r="15979" b="5067"/>
                  <a:stretch/>
                </pic:blipFill>
                <pic:spPr bwMode="auto">
                  <a:xfrm>
                    <a:off x="0" y="0"/>
                    <a:ext cx="1671378" cy="1507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27"/>
    <w:rsid w:val="000165A3"/>
    <w:rsid w:val="00027380"/>
    <w:rsid w:val="000313F8"/>
    <w:rsid w:val="0004105F"/>
    <w:rsid w:val="00044907"/>
    <w:rsid w:val="000922A4"/>
    <w:rsid w:val="000B0B28"/>
    <w:rsid w:val="000C2623"/>
    <w:rsid w:val="000D4F95"/>
    <w:rsid w:val="000E2CA9"/>
    <w:rsid w:val="00123073"/>
    <w:rsid w:val="001513AA"/>
    <w:rsid w:val="00164008"/>
    <w:rsid w:val="001641B0"/>
    <w:rsid w:val="0017272A"/>
    <w:rsid w:val="0017378B"/>
    <w:rsid w:val="00185D99"/>
    <w:rsid w:val="00194A39"/>
    <w:rsid w:val="001C5B07"/>
    <w:rsid w:val="001E3E0D"/>
    <w:rsid w:val="00236755"/>
    <w:rsid w:val="0025276B"/>
    <w:rsid w:val="002624C9"/>
    <w:rsid w:val="0026264F"/>
    <w:rsid w:val="00284F90"/>
    <w:rsid w:val="002E39AB"/>
    <w:rsid w:val="003245C8"/>
    <w:rsid w:val="003314DE"/>
    <w:rsid w:val="0033768E"/>
    <w:rsid w:val="003404C9"/>
    <w:rsid w:val="00340963"/>
    <w:rsid w:val="003C0ABF"/>
    <w:rsid w:val="003F6FF4"/>
    <w:rsid w:val="004448F0"/>
    <w:rsid w:val="004471C9"/>
    <w:rsid w:val="00464B7A"/>
    <w:rsid w:val="00473708"/>
    <w:rsid w:val="004919BB"/>
    <w:rsid w:val="004B107D"/>
    <w:rsid w:val="00505327"/>
    <w:rsid w:val="005A0B48"/>
    <w:rsid w:val="005C615B"/>
    <w:rsid w:val="005E1684"/>
    <w:rsid w:val="00660867"/>
    <w:rsid w:val="0066228B"/>
    <w:rsid w:val="0066571F"/>
    <w:rsid w:val="006810E4"/>
    <w:rsid w:val="00700E6A"/>
    <w:rsid w:val="00720E50"/>
    <w:rsid w:val="007B057B"/>
    <w:rsid w:val="008067B3"/>
    <w:rsid w:val="00823EFF"/>
    <w:rsid w:val="00873D06"/>
    <w:rsid w:val="009034A9"/>
    <w:rsid w:val="009244E2"/>
    <w:rsid w:val="00946CBE"/>
    <w:rsid w:val="009557C9"/>
    <w:rsid w:val="00986A24"/>
    <w:rsid w:val="009C66E5"/>
    <w:rsid w:val="00A23602"/>
    <w:rsid w:val="00A43A92"/>
    <w:rsid w:val="00A75BF7"/>
    <w:rsid w:val="00AC087F"/>
    <w:rsid w:val="00B00FED"/>
    <w:rsid w:val="00B17A04"/>
    <w:rsid w:val="00B406C3"/>
    <w:rsid w:val="00B412A4"/>
    <w:rsid w:val="00B4553D"/>
    <w:rsid w:val="00B464CE"/>
    <w:rsid w:val="00B57BF9"/>
    <w:rsid w:val="00B74782"/>
    <w:rsid w:val="00B92E27"/>
    <w:rsid w:val="00B94477"/>
    <w:rsid w:val="00BF6766"/>
    <w:rsid w:val="00C440CC"/>
    <w:rsid w:val="00C732D3"/>
    <w:rsid w:val="00C748B7"/>
    <w:rsid w:val="00CA4E63"/>
    <w:rsid w:val="00CB3BA5"/>
    <w:rsid w:val="00CC7675"/>
    <w:rsid w:val="00D1108F"/>
    <w:rsid w:val="00D143EC"/>
    <w:rsid w:val="00D335DD"/>
    <w:rsid w:val="00E21037"/>
    <w:rsid w:val="00E655DF"/>
    <w:rsid w:val="00E91295"/>
    <w:rsid w:val="00E92435"/>
    <w:rsid w:val="00ED0FD6"/>
    <w:rsid w:val="00F04348"/>
    <w:rsid w:val="00F149DF"/>
    <w:rsid w:val="00F23C88"/>
    <w:rsid w:val="00F55018"/>
    <w:rsid w:val="00F8356F"/>
    <w:rsid w:val="00FC65B1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E9A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semiHidden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AC087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8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8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7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8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semiHidden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AC087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8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8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7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Kowalski Ryszard</cp:lastModifiedBy>
  <cp:revision>5</cp:revision>
  <cp:lastPrinted>2017-10-17T22:49:00Z</cp:lastPrinted>
  <dcterms:created xsi:type="dcterms:W3CDTF">2017-10-10T11:59:00Z</dcterms:created>
  <dcterms:modified xsi:type="dcterms:W3CDTF">2017-10-17T22:49:00Z</dcterms:modified>
</cp:coreProperties>
</file>